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2DC50" w14:textId="08E4C74D" w:rsidR="00E34F44" w:rsidRDefault="007C3537" w:rsidP="0039243C">
      <w:pPr>
        <w:rPr>
          <w:rStyle w:val="SubtleReference"/>
        </w:rPr>
      </w:pPr>
      <w:r>
        <w:rPr>
          <w:noProof/>
        </w:rPr>
        <mc:AlternateContent>
          <mc:Choice Requires="wps">
            <w:drawing>
              <wp:anchor distT="0" distB="0" distL="114300" distR="114300" simplePos="0" relativeHeight="251659264" behindDoc="0" locked="0" layoutInCell="1" allowOverlap="1" wp14:anchorId="6D8F6458" wp14:editId="2F916AE2">
                <wp:simplePos x="0" y="0"/>
                <wp:positionH relativeFrom="column">
                  <wp:posOffset>2900679</wp:posOffset>
                </wp:positionH>
                <wp:positionV relativeFrom="paragraph">
                  <wp:posOffset>285750</wp:posOffset>
                </wp:positionV>
                <wp:extent cx="847725" cy="314325"/>
                <wp:effectExtent l="0" t="171450" r="0" b="180975"/>
                <wp:wrapNone/>
                <wp:docPr id="1" name="Text Box 1"/>
                <wp:cNvGraphicFramePr/>
                <a:graphic xmlns:a="http://schemas.openxmlformats.org/drawingml/2006/main">
                  <a:graphicData uri="http://schemas.microsoft.com/office/word/2010/wordprocessingShape">
                    <wps:wsp>
                      <wps:cNvSpPr txBox="1"/>
                      <wps:spPr>
                        <a:xfrm rot="19281560">
                          <a:off x="0" y="0"/>
                          <a:ext cx="847725" cy="314325"/>
                        </a:xfrm>
                        <a:prstGeom prst="rect">
                          <a:avLst/>
                        </a:prstGeom>
                        <a:noFill/>
                        <a:ln>
                          <a:noFill/>
                        </a:ln>
                      </wps:spPr>
                      <wps:txbx>
                        <w:txbxContent>
                          <w:p w14:paraId="20BC6304" w14:textId="4F73E79D" w:rsidR="007C3537" w:rsidRPr="007C3537" w:rsidRDefault="007C3537" w:rsidP="007C3537">
                            <w:pPr>
                              <w:jc w:val="center"/>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3537">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 of the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6458" id="_x0000_t202" coordsize="21600,21600" o:spt="202" path="m,l,21600r21600,l21600,xe">
                <v:stroke joinstyle="miter"/>
                <v:path gradientshapeok="t" o:connecttype="rect"/>
              </v:shapetype>
              <v:shape id="Text Box 1" o:spid="_x0000_s1026" type="#_x0000_t202" style="position:absolute;margin-left:228.4pt;margin-top:22.5pt;width:66.75pt;height:24.75pt;rotation:-253235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" filled="f" stroked="f">
                <v:fill o:detectmouseclick="t"/>
                <v:textbox>
                  <w:txbxContent>
                    <w:p w14:paraId="20BC6304" w14:textId="4F73E79D" w:rsidR="007C3537" w:rsidRPr="007C3537" w:rsidRDefault="007C3537" w:rsidP="007C3537">
                      <w:pPr>
                        <w:jc w:val="center"/>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C3537">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 of the</w:t>
                      </w:r>
                    </w:p>
                  </w:txbxContent>
                </v:textbox>
              </v:shape>
            </w:pict>
          </mc:Fallback>
        </mc:AlternateContent>
      </w:r>
      <w:r w:rsidR="00FF1AED">
        <w:rPr>
          <w:noProof/>
          <w:lang w:eastAsia="en-AU"/>
        </w:rPr>
        <w:drawing>
          <wp:inline distT="0" distB="0" distL="0" distR="0" wp14:anchorId="67D4546F" wp14:editId="51A2ADE5">
            <wp:extent cx="5641340" cy="1112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641340" cy="1112520"/>
                    </a:xfrm>
                    <a:prstGeom prst="rect">
                      <a:avLst/>
                    </a:prstGeom>
                  </pic:spPr>
                </pic:pic>
              </a:graphicData>
            </a:graphic>
          </wp:inline>
        </w:drawing>
      </w:r>
    </w:p>
    <w:p w14:paraId="5DE5440D" w14:textId="51B431BC" w:rsidR="001A5658" w:rsidRDefault="001A5658" w:rsidP="00FF1AED">
      <w:pPr>
        <w:tabs>
          <w:tab w:val="left" w:pos="1335"/>
        </w:tabs>
        <w:rPr>
          <w:rStyle w:val="SubtleReference"/>
        </w:rPr>
      </w:pPr>
      <w:r w:rsidRPr="00700A24">
        <w:rPr>
          <w:noProof/>
          <w:color w:val="253848" w:themeColor="background2" w:themeShade="40"/>
          <w:lang w:eastAsia="en-AU"/>
        </w:rPr>
        <mc:AlternateContent>
          <mc:Choice Requires="wps">
            <w:drawing>
              <wp:anchor distT="0" distB="0" distL="114300" distR="114300" simplePos="0" relativeHeight="251657216" behindDoc="0" locked="0" layoutInCell="1" allowOverlap="1" wp14:anchorId="6CA3E358" wp14:editId="6A262EA6">
                <wp:simplePos x="0" y="0"/>
                <wp:positionH relativeFrom="column">
                  <wp:posOffset>-13335</wp:posOffset>
                </wp:positionH>
                <wp:positionV relativeFrom="paragraph">
                  <wp:posOffset>498475</wp:posOffset>
                </wp:positionV>
                <wp:extent cx="56007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560070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11F8C3" id="Straight Connector 10"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05pt,39.25pt" to="439.95pt,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" strokecolor="#496f8f [1614]"/>
            </w:pict>
          </mc:Fallback>
        </mc:AlternateContent>
      </w:r>
      <w:r w:rsidRPr="00700A24">
        <w:rPr>
          <w:rFonts w:eastAsiaTheme="majorEastAsia" w:cstheme="majorBidi"/>
          <w:bCs/>
          <w:color w:val="253848" w:themeColor="background2" w:themeShade="40"/>
          <w:sz w:val="44"/>
          <w:szCs w:val="44"/>
        </w:rPr>
        <w:t>Planning your aged care needs</w:t>
      </w:r>
      <w:r w:rsidR="00E34F44">
        <w:rPr>
          <w:rStyle w:val="SubtleReference"/>
        </w:rPr>
        <w:br/>
      </w:r>
    </w:p>
    <w:p w14:paraId="2D3CCBFD" w14:textId="77777777" w:rsidR="001A5658" w:rsidRDefault="001A5658" w:rsidP="00091090">
      <w:pPr>
        <w:jc w:val="both"/>
        <w:rPr>
          <w:b/>
        </w:rPr>
      </w:pPr>
      <w:r w:rsidRPr="001A5658">
        <w:rPr>
          <w:b/>
        </w:rPr>
        <w:t>The wave of older Australians will continue to grow over the coming decades. As such, we can no longer afford to ignore the issues around aged care with over 1 million retirees already accessing aged care services in Australia.</w:t>
      </w:r>
    </w:p>
    <w:p w14:paraId="520EF80F" w14:textId="0966DCC0" w:rsidR="001A5658" w:rsidRDefault="001A5658" w:rsidP="00091090">
      <w:pPr>
        <w:jc w:val="both"/>
      </w:pPr>
      <w:r>
        <w:t xml:space="preserve">Planning ahead can help to demystify aged care and reduce stress levels. With awareness and pre-planning, you can maintain control and choice, have access to the financial resources to pay for care and minimise the stress on you and your family. This article discusses the steps you should consider when planning to move to residential aged care. </w:t>
      </w:r>
    </w:p>
    <w:p w14:paraId="234F4B24" w14:textId="77777777" w:rsidR="001A5658" w:rsidRDefault="001A5658" w:rsidP="00091090">
      <w:pPr>
        <w:pStyle w:val="Heading3"/>
        <w:jc w:val="both"/>
      </w:pPr>
      <w:r>
        <w:t>Step 1 – Plan ahead</w:t>
      </w:r>
    </w:p>
    <w:p w14:paraId="39C4286A" w14:textId="43D0BF6F" w:rsidR="00AF1399" w:rsidRDefault="001A5658" w:rsidP="00091090">
      <w:pPr>
        <w:jc w:val="both"/>
      </w:pPr>
      <w:r>
        <w:t>We are often reluctant to think about a potential move into care. This means we fail to plan and ignore the warning signs until a crisis emerges. At this point, the time available to evaluate options is limited and decisions may be rushed. Also, our families may start to argue and conflicts arise.</w:t>
      </w:r>
      <w:r w:rsidR="00A060F5">
        <w:t xml:space="preserve"> </w:t>
      </w:r>
    </w:p>
    <w:p w14:paraId="3A4CCD25" w14:textId="77777777" w:rsidR="009F0059" w:rsidRDefault="009F0059" w:rsidP="001A5658"/>
    <w:tbl>
      <w:tblPr>
        <w:tblStyle w:val="TableGrid"/>
        <w:tblW w:w="8699" w:type="dxa"/>
        <w:tblInd w:w="-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shd w:val="clear" w:color="F2F2F2" w:themeColor="background1" w:themeShade="F2" w:fill="F2F2F2" w:themeFill="background1" w:themeFillShade="F2"/>
        <w:tblLook w:val="04A0" w:firstRow="1" w:lastRow="0" w:firstColumn="1" w:lastColumn="0" w:noHBand="0" w:noVBand="1"/>
      </w:tblPr>
      <w:tblGrid>
        <w:gridCol w:w="8699"/>
      </w:tblGrid>
      <w:tr w:rsidR="00961CAA" w14:paraId="515AC110" w14:textId="77777777" w:rsidTr="008D702C">
        <w:trPr>
          <w:trHeight w:val="1555"/>
        </w:trPr>
        <w:tc>
          <w:tcPr>
            <w:tcW w:w="8699" w:type="dxa"/>
            <w:shd w:val="clear" w:color="auto" w:fill="D0E6F6" w:themeFill="accent6" w:themeFillTint="33"/>
          </w:tcPr>
          <w:p w14:paraId="354F4D1D" w14:textId="77777777" w:rsidR="006A0AF7" w:rsidRDefault="006A0AF7" w:rsidP="006A0AF7">
            <w:pPr>
              <w:ind w:right="249"/>
            </w:pPr>
            <w:bookmarkStart w:id="0" w:name="_Hlk488140748"/>
          </w:p>
          <w:p w14:paraId="237496A3" w14:textId="77777777" w:rsidR="001A5658" w:rsidRPr="00670F20" w:rsidRDefault="006A0AF7" w:rsidP="006A0AF7">
            <w:pPr>
              <w:ind w:left="306" w:right="249"/>
            </w:pPr>
            <w:r w:rsidRPr="00670F20">
              <w:rPr>
                <w:b/>
              </w:rPr>
              <w:t>Tip</w:t>
            </w:r>
            <w:r w:rsidRPr="00670F20">
              <w:t xml:space="preserve">: </w:t>
            </w:r>
          </w:p>
          <w:p w14:paraId="78365677" w14:textId="77777777" w:rsidR="001A5658" w:rsidRDefault="001A5658" w:rsidP="001A5658">
            <w:pPr>
              <w:ind w:left="306" w:right="249"/>
            </w:pPr>
            <w:r>
              <w:t>Start with a family meeting to make shared decisions. Use this meeting to:</w:t>
            </w:r>
          </w:p>
          <w:p w14:paraId="57A017DA" w14:textId="77777777" w:rsidR="001A5658" w:rsidRDefault="001A5658" w:rsidP="001A5658">
            <w:pPr>
              <w:pStyle w:val="ListParagraph"/>
              <w:numPr>
                <w:ilvl w:val="0"/>
                <w:numId w:val="15"/>
              </w:numPr>
              <w:ind w:right="249"/>
            </w:pPr>
            <w:r>
              <w:t>Discuss options and preferences</w:t>
            </w:r>
          </w:p>
          <w:p w14:paraId="33BFF384" w14:textId="77777777" w:rsidR="001A5658" w:rsidRDefault="001A5658" w:rsidP="001A5658">
            <w:pPr>
              <w:pStyle w:val="ListParagraph"/>
              <w:numPr>
                <w:ilvl w:val="0"/>
                <w:numId w:val="15"/>
              </w:numPr>
              <w:ind w:right="249"/>
            </w:pPr>
            <w:r>
              <w:t>Explore each person’s concerns</w:t>
            </w:r>
          </w:p>
          <w:p w14:paraId="65EDE951" w14:textId="77777777" w:rsidR="001A5658" w:rsidRDefault="001A5658" w:rsidP="001A5658">
            <w:pPr>
              <w:pStyle w:val="ListParagraph"/>
              <w:numPr>
                <w:ilvl w:val="0"/>
                <w:numId w:val="15"/>
              </w:numPr>
              <w:ind w:right="249"/>
            </w:pPr>
            <w:r>
              <w:t>Decide who needs to be involved in any planning</w:t>
            </w:r>
          </w:p>
          <w:p w14:paraId="731CA483" w14:textId="77777777" w:rsidR="001A5658" w:rsidRDefault="001A5658" w:rsidP="001A5658">
            <w:pPr>
              <w:ind w:left="306" w:right="249"/>
            </w:pPr>
          </w:p>
          <w:p w14:paraId="2CE0187F" w14:textId="77777777" w:rsidR="001A5658" w:rsidRDefault="001A5658" w:rsidP="001A5658">
            <w:pPr>
              <w:ind w:left="306" w:right="249"/>
            </w:pPr>
            <w:r>
              <w:t xml:space="preserve">Frank and open discussion is the first step to an effective decision-making process. </w:t>
            </w:r>
          </w:p>
          <w:p w14:paraId="400F6B09" w14:textId="77777777" w:rsidR="001A5658" w:rsidRDefault="001A5658" w:rsidP="001A5658">
            <w:pPr>
              <w:ind w:left="306"/>
            </w:pPr>
          </w:p>
          <w:p w14:paraId="581C50F6" w14:textId="1730A3FA" w:rsidR="006A0AF7" w:rsidRDefault="001A5658" w:rsidP="001A5658">
            <w:pPr>
              <w:ind w:left="306"/>
            </w:pPr>
            <w:r>
              <w:t>Ask your adviser to facilitate your family meeting. He/she can provide advice as well as offer an impartial and objective view.</w:t>
            </w:r>
          </w:p>
        </w:tc>
      </w:tr>
    </w:tbl>
    <w:bookmarkEnd w:id="0"/>
    <w:p w14:paraId="61FD78D5" w14:textId="77777777" w:rsidR="001A5658" w:rsidRDefault="00A87688" w:rsidP="0039243C">
      <w:r w:rsidRPr="00A87688">
        <w:rPr>
          <w:rFonts w:eastAsiaTheme="majorEastAsia" w:cstheme="majorBidi"/>
          <w:bCs/>
          <w:color w:val="FFFFFF" w:themeColor="background1"/>
          <w:sz w:val="20"/>
          <w:szCs w:val="20"/>
        </w:rPr>
        <w:br/>
      </w:r>
    </w:p>
    <w:p w14:paraId="3BD8607F" w14:textId="77777777" w:rsidR="001A5658" w:rsidRDefault="001A5658" w:rsidP="0039243C"/>
    <w:p w14:paraId="0AD9BD8D" w14:textId="77777777" w:rsidR="001A5658" w:rsidRDefault="001A5658" w:rsidP="0039243C"/>
    <w:p w14:paraId="4AEA39A6" w14:textId="77777777" w:rsidR="00670F20" w:rsidRDefault="00670F20" w:rsidP="008E24D9">
      <w:pPr>
        <w:pStyle w:val="Heading3"/>
      </w:pPr>
    </w:p>
    <w:p w14:paraId="59051197" w14:textId="77777777" w:rsidR="00670F20" w:rsidRDefault="00670F20" w:rsidP="008E24D9">
      <w:pPr>
        <w:pStyle w:val="Heading3"/>
      </w:pPr>
    </w:p>
    <w:p w14:paraId="1F3AE290" w14:textId="16B280D4" w:rsidR="008E24D9" w:rsidRDefault="008E24D9" w:rsidP="008E24D9">
      <w:pPr>
        <w:pStyle w:val="Heading3"/>
      </w:pPr>
      <w:r>
        <w:t xml:space="preserve">Step 2 – Assessing options </w:t>
      </w:r>
    </w:p>
    <w:p w14:paraId="311277D2" w14:textId="77777777" w:rsidR="008E24D9" w:rsidRDefault="008E24D9" w:rsidP="008E24D9">
      <w:r>
        <w:t xml:space="preserve">Aged care help can be accessed in your home or in a residential service. To help you decide which option is best, arrange a free assessment by an Aged Care Assessment Team/Service (ACAT/ACAS). </w:t>
      </w:r>
    </w:p>
    <w:p w14:paraId="443A0FC5" w14:textId="2233F793" w:rsidR="001A5658" w:rsidRDefault="008E24D9" w:rsidP="008E24D9">
      <w:r>
        <w:t>You will need to have ACAT/ACAS approval before you can access a government subsidised home care package or residential care.</w:t>
      </w:r>
    </w:p>
    <w:tbl>
      <w:tblPr>
        <w:tblStyle w:val="TableGrid"/>
        <w:tblW w:w="8699" w:type="dxa"/>
        <w:tblInd w:w="-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shd w:val="clear" w:color="F2F2F2" w:themeColor="background1" w:themeShade="F2" w:fill="F2F2F2" w:themeFill="background1" w:themeFillShade="F2"/>
        <w:tblLook w:val="04A0" w:firstRow="1" w:lastRow="0" w:firstColumn="1" w:lastColumn="0" w:noHBand="0" w:noVBand="1"/>
      </w:tblPr>
      <w:tblGrid>
        <w:gridCol w:w="8699"/>
      </w:tblGrid>
      <w:tr w:rsidR="008E24D9" w14:paraId="17187FEF" w14:textId="77777777" w:rsidTr="008D702C">
        <w:trPr>
          <w:trHeight w:val="1555"/>
        </w:trPr>
        <w:tc>
          <w:tcPr>
            <w:tcW w:w="8699" w:type="dxa"/>
            <w:shd w:val="clear" w:color="auto" w:fill="D0E6F6" w:themeFill="accent6" w:themeFillTint="33"/>
          </w:tcPr>
          <w:p w14:paraId="2461F15E" w14:textId="77777777" w:rsidR="008E24D9" w:rsidRDefault="008E24D9" w:rsidP="004F1304">
            <w:pPr>
              <w:ind w:right="249"/>
            </w:pPr>
          </w:p>
          <w:p w14:paraId="5C756A07" w14:textId="77777777" w:rsidR="008E24D9" w:rsidRPr="00670F20" w:rsidRDefault="008E24D9" w:rsidP="004F1304">
            <w:pPr>
              <w:ind w:left="306" w:right="249"/>
            </w:pPr>
            <w:r w:rsidRPr="00670F20">
              <w:rPr>
                <w:b/>
              </w:rPr>
              <w:t>Tip</w:t>
            </w:r>
            <w:r w:rsidRPr="00670F20">
              <w:t xml:space="preserve">: </w:t>
            </w:r>
          </w:p>
          <w:p w14:paraId="3889BCB0" w14:textId="36BDC3C3" w:rsidR="008E24D9" w:rsidRDefault="008E24D9" w:rsidP="004F1304">
            <w:pPr>
              <w:ind w:left="306"/>
            </w:pPr>
            <w:r w:rsidRPr="008E24D9">
              <w:t>You can book an appointment directly with ACAT/ACAS on 1800 200 422. Further information is available at www.myagedcare.gov.au</w:t>
            </w:r>
          </w:p>
        </w:tc>
      </w:tr>
    </w:tbl>
    <w:p w14:paraId="7BFAB037" w14:textId="77777777" w:rsidR="001A5658" w:rsidRDefault="001A5658" w:rsidP="0039243C"/>
    <w:p w14:paraId="60ED88D1" w14:textId="77777777" w:rsidR="008E24D9" w:rsidRDefault="008E24D9" w:rsidP="00091090">
      <w:pPr>
        <w:pStyle w:val="Heading3"/>
        <w:jc w:val="both"/>
      </w:pPr>
      <w:r>
        <w:t xml:space="preserve">Step 3 – Searching for services  </w:t>
      </w:r>
    </w:p>
    <w:p w14:paraId="13A6A78D" w14:textId="77777777" w:rsidR="008E24D9" w:rsidRDefault="008E24D9" w:rsidP="00091090">
      <w:pPr>
        <w:jc w:val="both"/>
      </w:pPr>
      <w:r>
        <w:t>If residential care is required, think about what criteria is important in deciding where to live. Make a list. This should include location, amenities and your health care needs.</w:t>
      </w:r>
    </w:p>
    <w:p w14:paraId="7B7675BB" w14:textId="77777777" w:rsidR="008E24D9" w:rsidRDefault="008E24D9" w:rsidP="00091090">
      <w:pPr>
        <w:jc w:val="both"/>
      </w:pPr>
      <w:r>
        <w:t>This list will help you develop a shortlist of potential services which you might like to contact or visit. But first check what fees will be asked for accommodation and ongoing services to ensure it is affordable for you.</w:t>
      </w:r>
    </w:p>
    <w:p w14:paraId="55B7E7C1" w14:textId="0A8F78E7" w:rsidR="001A5658" w:rsidRDefault="008E24D9" w:rsidP="00091090">
      <w:pPr>
        <w:jc w:val="both"/>
      </w:pPr>
      <w:r>
        <w:t>Once you have selected your preferences you can fill in an application form to add your name to the waiting list. You can put your name on the waiting list for more than one service to increase your chances of finding a place.</w:t>
      </w:r>
    </w:p>
    <w:tbl>
      <w:tblPr>
        <w:tblStyle w:val="TableGrid"/>
        <w:tblW w:w="8699" w:type="dxa"/>
        <w:tblInd w:w="-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shd w:val="clear" w:color="F2F2F2" w:themeColor="background1" w:themeShade="F2" w:fill="F2F2F2" w:themeFill="background1" w:themeFillShade="F2"/>
        <w:tblLook w:val="04A0" w:firstRow="1" w:lastRow="0" w:firstColumn="1" w:lastColumn="0" w:noHBand="0" w:noVBand="1"/>
      </w:tblPr>
      <w:tblGrid>
        <w:gridCol w:w="8699"/>
      </w:tblGrid>
      <w:tr w:rsidR="008E24D9" w14:paraId="44F5C96E" w14:textId="77777777" w:rsidTr="00670F20">
        <w:trPr>
          <w:trHeight w:val="1555"/>
        </w:trPr>
        <w:tc>
          <w:tcPr>
            <w:tcW w:w="8699" w:type="dxa"/>
            <w:shd w:val="clear" w:color="auto" w:fill="D0E6F6" w:themeFill="accent6" w:themeFillTint="33"/>
          </w:tcPr>
          <w:p w14:paraId="1837983A" w14:textId="77777777" w:rsidR="008E24D9" w:rsidRDefault="008E24D9" w:rsidP="004F1304">
            <w:pPr>
              <w:ind w:right="249"/>
            </w:pPr>
          </w:p>
          <w:p w14:paraId="27D7ADEE" w14:textId="77777777" w:rsidR="008E24D9" w:rsidRPr="00670F20" w:rsidRDefault="008E24D9" w:rsidP="004F1304">
            <w:pPr>
              <w:ind w:left="306" w:right="249"/>
            </w:pPr>
            <w:r w:rsidRPr="00670F20">
              <w:rPr>
                <w:b/>
              </w:rPr>
              <w:t>Tip</w:t>
            </w:r>
            <w:r w:rsidRPr="00670F20">
              <w:t xml:space="preserve">: </w:t>
            </w:r>
          </w:p>
          <w:p w14:paraId="2E6C715E" w14:textId="77777777" w:rsidR="008E24D9" w:rsidRDefault="008E24D9" w:rsidP="008E24D9">
            <w:pPr>
              <w:ind w:left="306"/>
            </w:pPr>
            <w:r>
              <w:t>You can search for services by</w:t>
            </w:r>
          </w:p>
          <w:p w14:paraId="1145FC3E" w14:textId="77777777" w:rsidR="008E24D9" w:rsidRDefault="008E24D9" w:rsidP="008E24D9">
            <w:pPr>
              <w:pStyle w:val="ListParagraph"/>
              <w:numPr>
                <w:ilvl w:val="0"/>
                <w:numId w:val="16"/>
              </w:numPr>
            </w:pPr>
            <w:r>
              <w:t>Visiting myagedcare.gov.au and search by postcode for the list of aged care facilities in your preferred location</w:t>
            </w:r>
          </w:p>
          <w:p w14:paraId="44EA88E0" w14:textId="77777777" w:rsidR="008E24D9" w:rsidRDefault="008E24D9" w:rsidP="008E24D9">
            <w:pPr>
              <w:pStyle w:val="ListParagraph"/>
              <w:numPr>
                <w:ilvl w:val="0"/>
                <w:numId w:val="16"/>
              </w:numPr>
            </w:pPr>
            <w:r>
              <w:t>Searching the internet for ‘aged care placement services’ for advice and help to choose a service and negotiate a place</w:t>
            </w:r>
          </w:p>
          <w:p w14:paraId="6092535E" w14:textId="77777777" w:rsidR="008E24D9" w:rsidRDefault="008E24D9" w:rsidP="008E24D9">
            <w:pPr>
              <w:ind w:left="306"/>
            </w:pPr>
          </w:p>
          <w:p w14:paraId="18385A88" w14:textId="03F4C766" w:rsidR="008E24D9" w:rsidRDefault="008E24D9" w:rsidP="008E24D9">
            <w:pPr>
              <w:ind w:left="306"/>
            </w:pPr>
            <w:r>
              <w:t>If you would like to fill in an application form to apply for a place, you can use the generic form which is available from myagedcare.gov.au</w:t>
            </w:r>
          </w:p>
        </w:tc>
      </w:tr>
    </w:tbl>
    <w:p w14:paraId="01127191" w14:textId="77777777" w:rsidR="001A5658" w:rsidRDefault="001A5658" w:rsidP="0039243C"/>
    <w:p w14:paraId="58BBE2BA" w14:textId="77777777" w:rsidR="001A5658" w:rsidRDefault="001A5658" w:rsidP="0039243C"/>
    <w:p w14:paraId="03437A41" w14:textId="77777777" w:rsidR="001A5658" w:rsidRDefault="001A5658" w:rsidP="0039243C"/>
    <w:p w14:paraId="2B2A3C23" w14:textId="689529A4" w:rsidR="001A5658" w:rsidRDefault="001A5658" w:rsidP="0039243C"/>
    <w:p w14:paraId="125D8118" w14:textId="77777777" w:rsidR="008E24D9" w:rsidRDefault="008E24D9" w:rsidP="00091090">
      <w:pPr>
        <w:pStyle w:val="Heading3"/>
        <w:jc w:val="both"/>
      </w:pPr>
      <w:r>
        <w:t>Step 4 – Understanding the fee structure</w:t>
      </w:r>
    </w:p>
    <w:p w14:paraId="282E437F" w14:textId="77777777" w:rsidR="008E24D9" w:rsidRDefault="008E24D9" w:rsidP="00091090">
      <w:pPr>
        <w:jc w:val="both"/>
      </w:pPr>
      <w:r>
        <w:t>Most people are often surprised by the level and range of fees. How much you have to pay may depend on:</w:t>
      </w:r>
    </w:p>
    <w:p w14:paraId="11E02772" w14:textId="77777777" w:rsidR="008E24D9" w:rsidRDefault="008E24D9" w:rsidP="00091090">
      <w:pPr>
        <w:pStyle w:val="ListParagraph"/>
        <w:numPr>
          <w:ilvl w:val="0"/>
          <w:numId w:val="17"/>
        </w:numPr>
        <w:jc w:val="both"/>
      </w:pPr>
      <w:r>
        <w:t>The service you choose</w:t>
      </w:r>
    </w:p>
    <w:p w14:paraId="5F55FEC1" w14:textId="77777777" w:rsidR="008E24D9" w:rsidRDefault="008E24D9" w:rsidP="00091090">
      <w:pPr>
        <w:pStyle w:val="ListParagraph"/>
        <w:numPr>
          <w:ilvl w:val="0"/>
          <w:numId w:val="17"/>
        </w:numPr>
        <w:jc w:val="both"/>
      </w:pPr>
      <w:r>
        <w:t>Your assessable assets</w:t>
      </w:r>
    </w:p>
    <w:p w14:paraId="011B10C0" w14:textId="77777777" w:rsidR="008E24D9" w:rsidRDefault="008E24D9" w:rsidP="00091090">
      <w:pPr>
        <w:pStyle w:val="ListParagraph"/>
        <w:numPr>
          <w:ilvl w:val="0"/>
          <w:numId w:val="17"/>
        </w:numPr>
        <w:jc w:val="both"/>
      </w:pPr>
      <w:r>
        <w:t>Your assessable income</w:t>
      </w:r>
    </w:p>
    <w:p w14:paraId="0D95B86C" w14:textId="287C366C" w:rsidR="009F0059" w:rsidRDefault="008E24D9" w:rsidP="00091090">
      <w:pPr>
        <w:jc w:val="both"/>
      </w:pPr>
      <w:r>
        <w:t>Your adviser can help you to understand the fees as the total amount payable can be hard to calculate without good advice.</w:t>
      </w:r>
    </w:p>
    <w:tbl>
      <w:tblPr>
        <w:tblStyle w:val="TableGrid"/>
        <w:tblW w:w="8699" w:type="dxa"/>
        <w:tblInd w:w="-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shd w:val="clear" w:color="F2F2F2" w:themeColor="background1" w:themeShade="F2" w:fill="F2F2F2" w:themeFill="background1" w:themeFillShade="F2"/>
        <w:tblLook w:val="04A0" w:firstRow="1" w:lastRow="0" w:firstColumn="1" w:lastColumn="0" w:noHBand="0" w:noVBand="1"/>
      </w:tblPr>
      <w:tblGrid>
        <w:gridCol w:w="8699"/>
      </w:tblGrid>
      <w:tr w:rsidR="008E24D9" w14:paraId="0C8CCA27" w14:textId="77777777" w:rsidTr="008D702C">
        <w:trPr>
          <w:trHeight w:val="1555"/>
        </w:trPr>
        <w:tc>
          <w:tcPr>
            <w:tcW w:w="8699" w:type="dxa"/>
            <w:shd w:val="clear" w:color="auto" w:fill="D0E6F6" w:themeFill="accent6" w:themeFillTint="33"/>
          </w:tcPr>
          <w:p w14:paraId="538D1472" w14:textId="77777777" w:rsidR="008E24D9" w:rsidRDefault="008E24D9" w:rsidP="004F1304">
            <w:pPr>
              <w:ind w:right="249"/>
            </w:pPr>
          </w:p>
          <w:p w14:paraId="66562BC2" w14:textId="77777777" w:rsidR="008E24D9" w:rsidRPr="00670F20" w:rsidRDefault="008E24D9" w:rsidP="004F1304">
            <w:pPr>
              <w:ind w:left="306" w:right="249"/>
            </w:pPr>
            <w:r w:rsidRPr="00670F20">
              <w:rPr>
                <w:b/>
              </w:rPr>
              <w:t>Tip</w:t>
            </w:r>
            <w:r w:rsidRPr="00670F20">
              <w:t xml:space="preserve">: </w:t>
            </w:r>
          </w:p>
          <w:p w14:paraId="12A4056A" w14:textId="77777777" w:rsidR="008E24D9" w:rsidRDefault="008E24D9" w:rsidP="008E24D9">
            <w:pPr>
              <w:ind w:left="306"/>
            </w:pPr>
            <w:r>
              <w:t>What you will pay for residential care is divided into contributions towards accommodation, care and additional services:</w:t>
            </w:r>
          </w:p>
          <w:p w14:paraId="274B6D4F" w14:textId="77777777" w:rsidR="008E24D9" w:rsidRDefault="008E24D9" w:rsidP="008E24D9">
            <w:pPr>
              <w:pStyle w:val="ListParagraph"/>
              <w:numPr>
                <w:ilvl w:val="0"/>
                <w:numId w:val="18"/>
              </w:numPr>
            </w:pPr>
            <w:r>
              <w:t>Paying for accommodation – we all need to either find a lump sum of money to buy a home or generate income to rent a home. Residential care is firstly accommodation that needs to be “purchased” (refundable accommodation deposit) or “rented” (daily accommodation payment).</w:t>
            </w:r>
          </w:p>
          <w:p w14:paraId="13AD3144" w14:textId="77777777" w:rsidR="008E24D9" w:rsidRDefault="008E24D9" w:rsidP="008E24D9">
            <w:pPr>
              <w:pStyle w:val="ListParagraph"/>
              <w:numPr>
                <w:ilvl w:val="0"/>
                <w:numId w:val="18"/>
              </w:numPr>
            </w:pPr>
            <w:r>
              <w:t xml:space="preserve">Paying for basic living expenses – food, electricity, cleaning and laundry services and nursing assistance is subsidised by the government. Residents are asked to contribute to the cost through a basic daily care fee plus a means-tested fee for those who have a higher capacity to pay. </w:t>
            </w:r>
          </w:p>
          <w:p w14:paraId="78090189" w14:textId="7647AEB4" w:rsidR="008E24D9" w:rsidRDefault="008E24D9" w:rsidP="008E24D9">
            <w:pPr>
              <w:pStyle w:val="ListParagraph"/>
              <w:numPr>
                <w:ilvl w:val="0"/>
                <w:numId w:val="18"/>
              </w:numPr>
            </w:pPr>
            <w:r>
              <w:t>Luxuries and lifestyle – additional items can be purchased on a user pays basis or in bundled packages as additional service fees.</w:t>
            </w:r>
          </w:p>
        </w:tc>
      </w:tr>
    </w:tbl>
    <w:p w14:paraId="74B11CEE" w14:textId="49AFBD6A" w:rsidR="008E24D9" w:rsidRDefault="008E24D9" w:rsidP="0039243C"/>
    <w:p w14:paraId="775968D8" w14:textId="77777777" w:rsidR="008E24D9" w:rsidRDefault="008E24D9" w:rsidP="00091090">
      <w:pPr>
        <w:pStyle w:val="Heading3"/>
        <w:jc w:val="both"/>
      </w:pPr>
      <w:r>
        <w:t>Step 5 – Structuring finances</w:t>
      </w:r>
    </w:p>
    <w:p w14:paraId="3C182A0B" w14:textId="77777777" w:rsidR="008E24D9" w:rsidRDefault="008E24D9" w:rsidP="00091090">
      <w:pPr>
        <w:jc w:val="both"/>
      </w:pPr>
      <w:r>
        <w:t xml:space="preserve">Accommodation costs are set by market forces with prices published on the </w:t>
      </w:r>
      <w:proofErr w:type="spellStart"/>
      <w:r>
        <w:t>MyAgedCare</w:t>
      </w:r>
      <w:proofErr w:type="spellEnd"/>
      <w:r>
        <w:t xml:space="preserve"> website. But if assets and income can be reduced to low enough levels (to become a low-means client) before the move, the government may subsidise accommodation and regulate how much the resident pays. </w:t>
      </w:r>
    </w:p>
    <w:p w14:paraId="29CCB26C" w14:textId="77777777" w:rsidR="00670F20" w:rsidRDefault="00670F20" w:rsidP="00091090">
      <w:pPr>
        <w:jc w:val="both"/>
      </w:pPr>
    </w:p>
    <w:p w14:paraId="7FA13946" w14:textId="77777777" w:rsidR="00670F20" w:rsidRDefault="00670F20" w:rsidP="008E24D9"/>
    <w:p w14:paraId="32B564DF" w14:textId="77777777" w:rsidR="00670F20" w:rsidRDefault="00670F20" w:rsidP="008E24D9"/>
    <w:p w14:paraId="3159491A" w14:textId="77777777" w:rsidR="00670F20" w:rsidRDefault="00670F20" w:rsidP="008E24D9"/>
    <w:p w14:paraId="6386F76F" w14:textId="4956262A" w:rsidR="008E24D9" w:rsidRDefault="008E24D9" w:rsidP="00091090">
      <w:pPr>
        <w:jc w:val="both"/>
      </w:pPr>
      <w:r>
        <w:t>In this way, the accommodation cost may be cheaper, but is not always better. Choice and control may be lost. Residents may be faced with accepting a place in whichever service has a low-means place available and could even be a shared room.</w:t>
      </w:r>
    </w:p>
    <w:tbl>
      <w:tblPr>
        <w:tblStyle w:val="TableGrid"/>
        <w:tblW w:w="8699" w:type="dxa"/>
        <w:tblInd w:w="-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shd w:val="clear" w:color="F2F2F2" w:themeColor="background1" w:themeShade="F2" w:fill="F2F2F2" w:themeFill="background1" w:themeFillShade="F2"/>
        <w:tblLook w:val="04A0" w:firstRow="1" w:lastRow="0" w:firstColumn="1" w:lastColumn="0" w:noHBand="0" w:noVBand="1"/>
      </w:tblPr>
      <w:tblGrid>
        <w:gridCol w:w="8699"/>
      </w:tblGrid>
      <w:tr w:rsidR="008E24D9" w14:paraId="15D91EB8" w14:textId="77777777" w:rsidTr="008D702C">
        <w:trPr>
          <w:trHeight w:val="1555"/>
        </w:trPr>
        <w:tc>
          <w:tcPr>
            <w:tcW w:w="8699" w:type="dxa"/>
            <w:shd w:val="clear" w:color="auto" w:fill="D0E6F6" w:themeFill="accent6" w:themeFillTint="33"/>
          </w:tcPr>
          <w:p w14:paraId="3F9127A4" w14:textId="77777777" w:rsidR="008E24D9" w:rsidRDefault="008E24D9" w:rsidP="004F1304">
            <w:pPr>
              <w:ind w:right="249"/>
            </w:pPr>
          </w:p>
          <w:p w14:paraId="3EAA8B15" w14:textId="77777777" w:rsidR="008E24D9" w:rsidRPr="00670F20" w:rsidRDefault="008E24D9" w:rsidP="004F1304">
            <w:pPr>
              <w:ind w:left="306" w:right="249"/>
            </w:pPr>
            <w:r w:rsidRPr="00670F20">
              <w:rPr>
                <w:b/>
              </w:rPr>
              <w:t>Tip</w:t>
            </w:r>
            <w:r w:rsidRPr="00670F20">
              <w:t xml:space="preserve">: </w:t>
            </w:r>
          </w:p>
          <w:p w14:paraId="0C718F5E" w14:textId="77777777" w:rsidR="008E24D9" w:rsidRDefault="008E24D9" w:rsidP="008E24D9">
            <w:pPr>
              <w:ind w:left="306"/>
            </w:pPr>
            <w:r>
              <w:t>A homeowner will generally not qualify as low-means unless their spouse (or other protected person) will continue to live in that home.</w:t>
            </w:r>
          </w:p>
          <w:p w14:paraId="7B95BF65" w14:textId="77777777" w:rsidR="008E24D9" w:rsidRDefault="008E24D9" w:rsidP="008E24D9">
            <w:pPr>
              <w:ind w:left="306"/>
            </w:pPr>
          </w:p>
          <w:p w14:paraId="3ADC7E84" w14:textId="77777777" w:rsidR="008E24D9" w:rsidRDefault="008E24D9" w:rsidP="008E24D9">
            <w:pPr>
              <w:ind w:left="306"/>
            </w:pPr>
            <w:r>
              <w:t>If potential residents wish to aim for entry under the low-means rules, there are not many pre-planning strategies to reduce assets. One option may be to enter into a granny flat arrangement to transfer ownership of the home to a child in exchange for a life interest to live in the home.</w:t>
            </w:r>
          </w:p>
          <w:p w14:paraId="37EE50B7" w14:textId="77777777" w:rsidR="008E24D9" w:rsidRDefault="008E24D9" w:rsidP="008E24D9">
            <w:pPr>
              <w:ind w:left="306"/>
            </w:pPr>
          </w:p>
          <w:p w14:paraId="1BF80B60" w14:textId="4C9B5040" w:rsidR="008E24D9" w:rsidRDefault="008E24D9" w:rsidP="008E24D9">
            <w:pPr>
              <w:ind w:left="306"/>
            </w:pPr>
            <w:r>
              <w:t>If this transaction occurs within five years before a move into residential care it could be captured under gifting and deprivation rules (depending on circumstances). Instead of being a solution it could create more problems. Other legal issues also need to be considered to minimise the family problems that could arise.</w:t>
            </w:r>
          </w:p>
        </w:tc>
      </w:tr>
    </w:tbl>
    <w:p w14:paraId="191485A8" w14:textId="32BA5EF9" w:rsidR="008E24D9" w:rsidRDefault="008E24D9" w:rsidP="0039243C"/>
    <w:p w14:paraId="16AE5430" w14:textId="77777777" w:rsidR="008E24D9" w:rsidRDefault="008E24D9" w:rsidP="00091090">
      <w:pPr>
        <w:jc w:val="both"/>
      </w:pPr>
      <w:r>
        <w:t>Your adviser can review your full financial situation and provide advice on how to:</w:t>
      </w:r>
    </w:p>
    <w:p w14:paraId="38E07F8B" w14:textId="77777777" w:rsidR="008E24D9" w:rsidRDefault="008E24D9" w:rsidP="00091090">
      <w:pPr>
        <w:pStyle w:val="ListParagraph"/>
        <w:numPr>
          <w:ilvl w:val="0"/>
          <w:numId w:val="19"/>
        </w:numPr>
        <w:jc w:val="both"/>
      </w:pPr>
      <w:r>
        <w:t>Make appropriate decisions</w:t>
      </w:r>
    </w:p>
    <w:p w14:paraId="1789C3A0" w14:textId="77777777" w:rsidR="008E24D9" w:rsidRDefault="008E24D9" w:rsidP="00091090">
      <w:pPr>
        <w:pStyle w:val="ListParagraph"/>
        <w:numPr>
          <w:ilvl w:val="0"/>
          <w:numId w:val="19"/>
        </w:numPr>
        <w:jc w:val="both"/>
      </w:pPr>
      <w:r>
        <w:t>Structure assets to pay for accommodation and as well as create sufficient cashflow</w:t>
      </w:r>
    </w:p>
    <w:p w14:paraId="1B229995" w14:textId="77777777" w:rsidR="008E24D9" w:rsidRDefault="008E24D9" w:rsidP="00091090">
      <w:pPr>
        <w:pStyle w:val="ListParagraph"/>
        <w:numPr>
          <w:ilvl w:val="0"/>
          <w:numId w:val="19"/>
        </w:numPr>
        <w:jc w:val="both"/>
      </w:pPr>
      <w:r>
        <w:t xml:space="preserve">Minimise fees or maximise Centrelink or Veterans’ Affairs benefits </w:t>
      </w:r>
    </w:p>
    <w:p w14:paraId="196AB569" w14:textId="77777777" w:rsidR="008E24D9" w:rsidRDefault="008E24D9" w:rsidP="00091090">
      <w:pPr>
        <w:jc w:val="both"/>
      </w:pPr>
    </w:p>
    <w:p w14:paraId="2DBE2D2D" w14:textId="77777777" w:rsidR="008E24D9" w:rsidRDefault="008E24D9" w:rsidP="00091090">
      <w:pPr>
        <w:pStyle w:val="Heading3"/>
        <w:jc w:val="both"/>
      </w:pPr>
      <w:r>
        <w:t>Step 6 – Estate planning</w:t>
      </w:r>
    </w:p>
    <w:p w14:paraId="73D7DB61" w14:textId="77777777" w:rsidR="008E24D9" w:rsidRDefault="008E24D9" w:rsidP="00091090">
      <w:pPr>
        <w:jc w:val="both"/>
      </w:pPr>
      <w:r>
        <w:t>Anytime your circumstances change it is important to consider the impact this has on your estate plans. This includes when you move into aged care.</w:t>
      </w:r>
    </w:p>
    <w:p w14:paraId="3B0815BE" w14:textId="77777777" w:rsidR="008E24D9" w:rsidRDefault="008E24D9" w:rsidP="00091090">
      <w:pPr>
        <w:jc w:val="both"/>
      </w:pPr>
      <w:r>
        <w:t xml:space="preserve">You should speak to your solicitor about the ability to review and redraft your will to reflect your wishes. </w:t>
      </w:r>
    </w:p>
    <w:p w14:paraId="0819F170" w14:textId="77777777" w:rsidR="00670F20" w:rsidRDefault="008E24D9" w:rsidP="00091090">
      <w:pPr>
        <w:jc w:val="both"/>
        <w:sectPr w:rsidR="00670F20" w:rsidSect="00835E31">
          <w:pgSz w:w="11906" w:h="16838"/>
          <w:pgMar w:top="0" w:right="1440" w:bottom="1129" w:left="1582" w:header="708" w:footer="708" w:gutter="0"/>
          <w:cols w:space="708"/>
          <w:docGrid w:linePitch="360"/>
        </w:sectPr>
      </w:pPr>
      <w:r>
        <w:t xml:space="preserve">As dementia is a leading factor behind the need for care services, when the time comes it is likely that the client will need to delegate financial decisions to someone else. This is easier if an enduring power of attorney (and guardianship) is in place. </w:t>
      </w:r>
      <w:proofErr w:type="gramStart"/>
      <w:r>
        <w:t>So</w:t>
      </w:r>
      <w:proofErr w:type="gramEnd"/>
      <w:r>
        <w:t xml:space="preserve"> it is important to have the </w:t>
      </w:r>
    </w:p>
    <w:p w14:paraId="4FDEC725" w14:textId="61EE254D" w:rsidR="00670F20" w:rsidRDefault="00670F20" w:rsidP="008E24D9"/>
    <w:p w14:paraId="52493AF5" w14:textId="77777777" w:rsidR="00670F20" w:rsidRDefault="00670F20" w:rsidP="008E24D9"/>
    <w:p w14:paraId="4C124548" w14:textId="77777777" w:rsidR="00670F20" w:rsidRDefault="00670F20" w:rsidP="008E24D9"/>
    <w:p w14:paraId="0078E333" w14:textId="4040911F" w:rsidR="008E24D9" w:rsidRDefault="008E24D9" w:rsidP="00091090">
      <w:pPr>
        <w:jc w:val="both"/>
      </w:pPr>
      <w:r>
        <w:t>appropriate powers in place before a person has lost legal capacity as once capacity has been lost, it will be too late to set up the powers and a trip to the Guardianship Tribunal will be needed.</w:t>
      </w:r>
    </w:p>
    <w:tbl>
      <w:tblPr>
        <w:tblStyle w:val="TableGrid"/>
        <w:tblW w:w="8699" w:type="dxa"/>
        <w:tblInd w:w="-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shd w:val="clear" w:color="F2F2F2" w:themeColor="background1" w:themeShade="F2" w:fill="F2F2F2" w:themeFill="background1" w:themeFillShade="F2"/>
        <w:tblLook w:val="04A0" w:firstRow="1" w:lastRow="0" w:firstColumn="1" w:lastColumn="0" w:noHBand="0" w:noVBand="1"/>
      </w:tblPr>
      <w:tblGrid>
        <w:gridCol w:w="8699"/>
      </w:tblGrid>
      <w:tr w:rsidR="008E24D9" w14:paraId="0D5E387E" w14:textId="77777777" w:rsidTr="008D702C">
        <w:trPr>
          <w:trHeight w:val="1555"/>
        </w:trPr>
        <w:tc>
          <w:tcPr>
            <w:tcW w:w="8699" w:type="dxa"/>
            <w:shd w:val="clear" w:color="auto" w:fill="D0E6F6" w:themeFill="accent6" w:themeFillTint="33"/>
          </w:tcPr>
          <w:p w14:paraId="4297CFC6" w14:textId="77777777" w:rsidR="008E24D9" w:rsidRDefault="008E24D9" w:rsidP="004F1304">
            <w:pPr>
              <w:ind w:right="249"/>
            </w:pPr>
          </w:p>
          <w:p w14:paraId="550AC2F5" w14:textId="0BE4F296" w:rsidR="008E24D9" w:rsidRPr="001138DB" w:rsidRDefault="008E24D9" w:rsidP="004F1304">
            <w:pPr>
              <w:ind w:left="306" w:right="249"/>
              <w:rPr>
                <w:color w:val="0070C0"/>
              </w:rPr>
            </w:pPr>
            <w:r w:rsidRPr="001138DB">
              <w:rPr>
                <w:b/>
                <w:color w:val="0070C0"/>
              </w:rPr>
              <w:t>The statistics</w:t>
            </w:r>
            <w:r w:rsidRPr="001138DB">
              <w:rPr>
                <w:color w:val="0070C0"/>
              </w:rPr>
              <w:t xml:space="preserve">: </w:t>
            </w:r>
          </w:p>
          <w:p w14:paraId="12D11E86" w14:textId="77777777" w:rsidR="008E24D9" w:rsidRDefault="008E24D9" w:rsidP="009F0059">
            <w:pPr>
              <w:pStyle w:val="ListParagraph"/>
              <w:numPr>
                <w:ilvl w:val="0"/>
                <w:numId w:val="20"/>
              </w:numPr>
            </w:pPr>
            <w:r>
              <w:t>On average, one new case of dementia occurs in Australia every 6 minutes</w:t>
            </w:r>
          </w:p>
          <w:p w14:paraId="7B8CACCE" w14:textId="77777777" w:rsidR="008E24D9" w:rsidRDefault="008E24D9" w:rsidP="009F0059">
            <w:pPr>
              <w:pStyle w:val="ListParagraph"/>
              <w:numPr>
                <w:ilvl w:val="0"/>
                <w:numId w:val="20"/>
              </w:numPr>
            </w:pPr>
            <w:r>
              <w:t>30% of people over age 85 have dementia</w:t>
            </w:r>
          </w:p>
          <w:p w14:paraId="5ECE4888" w14:textId="77777777" w:rsidR="008E24D9" w:rsidRDefault="008E24D9" w:rsidP="009F0059">
            <w:pPr>
              <w:pStyle w:val="ListParagraph"/>
              <w:numPr>
                <w:ilvl w:val="0"/>
                <w:numId w:val="20"/>
              </w:numPr>
            </w:pPr>
            <w:r>
              <w:t>More than 50% of people in subsidised aged care facilities have dementia</w:t>
            </w:r>
          </w:p>
          <w:p w14:paraId="2AC16040" w14:textId="77777777" w:rsidR="008E24D9" w:rsidRDefault="008E24D9" w:rsidP="008E24D9">
            <w:pPr>
              <w:ind w:left="306"/>
            </w:pPr>
          </w:p>
          <w:p w14:paraId="09333AAA" w14:textId="57963EBB" w:rsidR="008E24D9" w:rsidRPr="009F0059" w:rsidRDefault="008E24D9" w:rsidP="008E24D9">
            <w:pPr>
              <w:ind w:left="306"/>
              <w:rPr>
                <w:sz w:val="18"/>
                <w:szCs w:val="18"/>
              </w:rPr>
            </w:pPr>
            <w:r w:rsidRPr="009F0059">
              <w:rPr>
                <w:sz w:val="18"/>
                <w:szCs w:val="18"/>
                <w:u w:val="single"/>
              </w:rPr>
              <w:t>Source</w:t>
            </w:r>
            <w:r w:rsidRPr="009F0059">
              <w:rPr>
                <w:sz w:val="18"/>
                <w:szCs w:val="18"/>
              </w:rPr>
              <w:t xml:space="preserve">: </w:t>
            </w:r>
            <w:proofErr w:type="spellStart"/>
            <w:r w:rsidRPr="009F0059">
              <w:rPr>
                <w:sz w:val="18"/>
                <w:szCs w:val="18"/>
              </w:rPr>
              <w:t>Alzheimers</w:t>
            </w:r>
            <w:proofErr w:type="spellEnd"/>
            <w:r w:rsidRPr="009F0059">
              <w:rPr>
                <w:sz w:val="18"/>
                <w:szCs w:val="18"/>
              </w:rPr>
              <w:t>’ Australia, www.fightdementia.org.au</w:t>
            </w:r>
          </w:p>
        </w:tc>
      </w:tr>
    </w:tbl>
    <w:p w14:paraId="3EE2CF02" w14:textId="1E2C4C28" w:rsidR="008E24D9" w:rsidRDefault="008E24D9" w:rsidP="0039243C"/>
    <w:p w14:paraId="24725880" w14:textId="51B9E24B" w:rsidR="008E24D9" w:rsidRDefault="008E24D9" w:rsidP="0039243C"/>
    <w:p w14:paraId="0111C979" w14:textId="77777777" w:rsidR="009A0116" w:rsidRDefault="009A0116" w:rsidP="0039243C">
      <w:pPr>
        <w:rPr>
          <w:highlight w:val="yellow"/>
        </w:rPr>
      </w:pPr>
    </w:p>
    <w:p w14:paraId="6BE6C589" w14:textId="77777777" w:rsidR="00AA3510" w:rsidRDefault="00AA3510" w:rsidP="0039243C">
      <w:pPr>
        <w:rPr>
          <w:highlight w:val="yellow"/>
        </w:rPr>
      </w:pPr>
    </w:p>
    <w:p w14:paraId="0F351873" w14:textId="77777777" w:rsidR="00AA3510" w:rsidRDefault="00AA3510" w:rsidP="0039243C">
      <w:pPr>
        <w:rPr>
          <w:highlight w:val="yellow"/>
        </w:rPr>
      </w:pPr>
      <w:bookmarkStart w:id="1" w:name="_GoBack"/>
      <w:bookmarkEnd w:id="1"/>
    </w:p>
    <w:p w14:paraId="02F7BB0A" w14:textId="77777777" w:rsidR="00AA3510" w:rsidRDefault="00AA3510" w:rsidP="0039243C">
      <w:pPr>
        <w:rPr>
          <w:highlight w:val="yellow"/>
        </w:rPr>
      </w:pPr>
    </w:p>
    <w:p w14:paraId="74CF1824" w14:textId="77777777" w:rsidR="00AA3510" w:rsidRDefault="00AA3510" w:rsidP="0039243C">
      <w:pPr>
        <w:rPr>
          <w:highlight w:val="yellow"/>
        </w:rPr>
      </w:pPr>
    </w:p>
    <w:p w14:paraId="47DE0F0C" w14:textId="77777777" w:rsidR="00AA3510" w:rsidRDefault="00AA3510" w:rsidP="0039243C">
      <w:pPr>
        <w:rPr>
          <w:highlight w:val="yellow"/>
        </w:rPr>
      </w:pPr>
    </w:p>
    <w:p w14:paraId="2CF41468" w14:textId="77777777" w:rsidR="00AA3510" w:rsidRDefault="00AA3510" w:rsidP="0039243C">
      <w:pPr>
        <w:rPr>
          <w:highlight w:val="yellow"/>
        </w:rPr>
      </w:pPr>
    </w:p>
    <w:p w14:paraId="2ABF937A" w14:textId="77777777" w:rsidR="00AA3510" w:rsidRDefault="00AA3510" w:rsidP="0039243C">
      <w:pPr>
        <w:rPr>
          <w:highlight w:val="yellow"/>
        </w:rPr>
      </w:pPr>
    </w:p>
    <w:p w14:paraId="128983EB" w14:textId="77777777" w:rsidR="00AA3510" w:rsidRDefault="00AA3510" w:rsidP="0039243C">
      <w:pPr>
        <w:rPr>
          <w:highlight w:val="yellow"/>
        </w:rPr>
      </w:pPr>
    </w:p>
    <w:p w14:paraId="4096849F" w14:textId="77777777" w:rsidR="00AA3510" w:rsidRDefault="00AA3510" w:rsidP="0039243C">
      <w:pPr>
        <w:rPr>
          <w:highlight w:val="yellow"/>
        </w:rPr>
      </w:pPr>
    </w:p>
    <w:p w14:paraId="696A8EB7" w14:textId="77777777" w:rsidR="00AA3510" w:rsidRDefault="00AA3510" w:rsidP="0039243C">
      <w:pPr>
        <w:rPr>
          <w:highlight w:val="yellow"/>
        </w:rPr>
      </w:pPr>
    </w:p>
    <w:sectPr w:rsidR="00AA3510" w:rsidSect="00835E31">
      <w:footerReference w:type="default" r:id="rId8"/>
      <w:pgSz w:w="11906" w:h="16838"/>
      <w:pgMar w:top="0" w:right="1440" w:bottom="1129" w:left="158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B5963" w14:textId="77777777" w:rsidR="001A2BA5" w:rsidRDefault="001A2BA5" w:rsidP="0039243C">
      <w:r>
        <w:separator/>
      </w:r>
    </w:p>
  </w:endnote>
  <w:endnote w:type="continuationSeparator" w:id="0">
    <w:p w14:paraId="2D680B82" w14:textId="77777777" w:rsidR="001A2BA5" w:rsidRDefault="001A2BA5" w:rsidP="0039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43CB6" w14:textId="77777777" w:rsidR="00835E31" w:rsidRPr="00835E31" w:rsidRDefault="00835E31" w:rsidP="00835E31">
    <w:pPr>
      <w:spacing w:after="0" w:line="240" w:lineRule="auto"/>
      <w:jc w:val="both"/>
      <w:rPr>
        <w:b/>
        <w:i/>
        <w:color w:val="000000" w:themeColor="text1"/>
        <w:sz w:val="20"/>
        <w:szCs w:val="20"/>
      </w:rPr>
    </w:pPr>
    <w:r w:rsidRPr="00835E31">
      <w:rPr>
        <w:b/>
        <w:i/>
        <w:color w:val="000000" w:themeColor="text1"/>
        <w:sz w:val="20"/>
        <w:szCs w:val="20"/>
      </w:rPr>
      <w:t>Disclaimer</w:t>
    </w:r>
    <w:r w:rsidRPr="00835E31">
      <w:rPr>
        <w:i/>
        <w:color w:val="000000" w:themeColor="text1"/>
        <w:sz w:val="20"/>
        <w:szCs w:val="20"/>
      </w:rPr>
      <w:t>: The information in this article is general and does not take into account your particular circumstances. We recommend specific tax or legal advice be sought before any action is taken and refer to the relevant Product Disclosure Statement before investing in any product. Rates current to 19 September 2017.</w:t>
    </w:r>
  </w:p>
  <w:p w14:paraId="6A6A0D72" w14:textId="77777777" w:rsidR="00835E31" w:rsidRPr="00835E31" w:rsidRDefault="00835E31" w:rsidP="00835E31">
    <w:pPr>
      <w:spacing w:after="0" w:line="240" w:lineRule="auto"/>
      <w:jc w:val="both"/>
      <w:rPr>
        <w:b/>
        <w:i/>
        <w:color w:val="000000" w:themeColor="text1"/>
        <w:sz w:val="20"/>
        <w:szCs w:val="20"/>
      </w:rPr>
    </w:pPr>
    <w:r w:rsidRPr="00835E31">
      <w:rPr>
        <w:b/>
        <w:i/>
        <w:color w:val="000000" w:themeColor="text1"/>
        <w:sz w:val="20"/>
        <w:szCs w:val="20"/>
      </w:rPr>
      <w:t>Incorporating:</w:t>
    </w:r>
  </w:p>
  <w:p w14:paraId="0192CDDF" w14:textId="77777777" w:rsidR="00835E31" w:rsidRPr="00835E31" w:rsidRDefault="00835E31" w:rsidP="00835E31">
    <w:pPr>
      <w:spacing w:after="0" w:line="240" w:lineRule="auto"/>
      <w:jc w:val="both"/>
      <w:rPr>
        <w:i/>
        <w:color w:val="000000" w:themeColor="text1"/>
        <w:sz w:val="20"/>
        <w:szCs w:val="20"/>
      </w:rPr>
    </w:pPr>
    <w:r w:rsidRPr="00835E31">
      <w:rPr>
        <w:i/>
        <w:color w:val="000000" w:themeColor="text1"/>
        <w:sz w:val="20"/>
        <w:szCs w:val="20"/>
      </w:rPr>
      <w:t>Poole &amp; Partners Pty Ltd ABN 63 010 478 181; Poole &amp; Partners Investment Services Pty Ltd AFSL 280 232 / ABN 24 093 450 394; Aged Care Services Qld Pty Ltd ABN 81 609 413 792</w:t>
    </w:r>
  </w:p>
  <w:p w14:paraId="0E9C013E" w14:textId="77777777" w:rsidR="00835E31" w:rsidRDefault="00835E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43F16" w14:textId="77777777" w:rsidR="001A2BA5" w:rsidRDefault="001A2BA5" w:rsidP="0039243C">
      <w:r>
        <w:separator/>
      </w:r>
    </w:p>
  </w:footnote>
  <w:footnote w:type="continuationSeparator" w:id="0">
    <w:p w14:paraId="7D1BC502" w14:textId="77777777" w:rsidR="001A2BA5" w:rsidRDefault="001A2BA5" w:rsidP="003924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D623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38775C"/>
    <w:multiLevelType w:val="hybridMultilevel"/>
    <w:tmpl w:val="B6E26D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1371693"/>
    <w:multiLevelType w:val="hybridMultilevel"/>
    <w:tmpl w:val="5C582F04"/>
    <w:lvl w:ilvl="0" w:tplc="0C090001">
      <w:start w:val="1"/>
      <w:numFmt w:val="bullet"/>
      <w:lvlText w:val=""/>
      <w:lvlJc w:val="left"/>
      <w:pPr>
        <w:ind w:left="1026" w:hanging="360"/>
      </w:pPr>
      <w:rPr>
        <w:rFonts w:ascii="Symbol" w:hAnsi="Symbol" w:hint="default"/>
      </w:rPr>
    </w:lvl>
    <w:lvl w:ilvl="1" w:tplc="0C090003" w:tentative="1">
      <w:start w:val="1"/>
      <w:numFmt w:val="bullet"/>
      <w:lvlText w:val="o"/>
      <w:lvlJc w:val="left"/>
      <w:pPr>
        <w:ind w:left="1746" w:hanging="360"/>
      </w:pPr>
      <w:rPr>
        <w:rFonts w:ascii="Courier New" w:hAnsi="Courier New" w:cs="Courier New" w:hint="default"/>
      </w:rPr>
    </w:lvl>
    <w:lvl w:ilvl="2" w:tplc="0C090005" w:tentative="1">
      <w:start w:val="1"/>
      <w:numFmt w:val="bullet"/>
      <w:lvlText w:val=""/>
      <w:lvlJc w:val="left"/>
      <w:pPr>
        <w:ind w:left="2466" w:hanging="360"/>
      </w:pPr>
      <w:rPr>
        <w:rFonts w:ascii="Wingdings" w:hAnsi="Wingdings" w:hint="default"/>
      </w:rPr>
    </w:lvl>
    <w:lvl w:ilvl="3" w:tplc="0C090001" w:tentative="1">
      <w:start w:val="1"/>
      <w:numFmt w:val="bullet"/>
      <w:lvlText w:val=""/>
      <w:lvlJc w:val="left"/>
      <w:pPr>
        <w:ind w:left="3186" w:hanging="360"/>
      </w:pPr>
      <w:rPr>
        <w:rFonts w:ascii="Symbol" w:hAnsi="Symbol" w:hint="default"/>
      </w:rPr>
    </w:lvl>
    <w:lvl w:ilvl="4" w:tplc="0C090003" w:tentative="1">
      <w:start w:val="1"/>
      <w:numFmt w:val="bullet"/>
      <w:lvlText w:val="o"/>
      <w:lvlJc w:val="left"/>
      <w:pPr>
        <w:ind w:left="3906" w:hanging="360"/>
      </w:pPr>
      <w:rPr>
        <w:rFonts w:ascii="Courier New" w:hAnsi="Courier New" w:cs="Courier New" w:hint="default"/>
      </w:rPr>
    </w:lvl>
    <w:lvl w:ilvl="5" w:tplc="0C090005" w:tentative="1">
      <w:start w:val="1"/>
      <w:numFmt w:val="bullet"/>
      <w:lvlText w:val=""/>
      <w:lvlJc w:val="left"/>
      <w:pPr>
        <w:ind w:left="4626" w:hanging="360"/>
      </w:pPr>
      <w:rPr>
        <w:rFonts w:ascii="Wingdings" w:hAnsi="Wingdings" w:hint="default"/>
      </w:rPr>
    </w:lvl>
    <w:lvl w:ilvl="6" w:tplc="0C090001" w:tentative="1">
      <w:start w:val="1"/>
      <w:numFmt w:val="bullet"/>
      <w:lvlText w:val=""/>
      <w:lvlJc w:val="left"/>
      <w:pPr>
        <w:ind w:left="5346" w:hanging="360"/>
      </w:pPr>
      <w:rPr>
        <w:rFonts w:ascii="Symbol" w:hAnsi="Symbol" w:hint="default"/>
      </w:rPr>
    </w:lvl>
    <w:lvl w:ilvl="7" w:tplc="0C090003" w:tentative="1">
      <w:start w:val="1"/>
      <w:numFmt w:val="bullet"/>
      <w:lvlText w:val="o"/>
      <w:lvlJc w:val="left"/>
      <w:pPr>
        <w:ind w:left="6066" w:hanging="360"/>
      </w:pPr>
      <w:rPr>
        <w:rFonts w:ascii="Courier New" w:hAnsi="Courier New" w:cs="Courier New" w:hint="default"/>
      </w:rPr>
    </w:lvl>
    <w:lvl w:ilvl="8" w:tplc="0C090005" w:tentative="1">
      <w:start w:val="1"/>
      <w:numFmt w:val="bullet"/>
      <w:lvlText w:val=""/>
      <w:lvlJc w:val="left"/>
      <w:pPr>
        <w:ind w:left="6786" w:hanging="360"/>
      </w:pPr>
      <w:rPr>
        <w:rFonts w:ascii="Wingdings" w:hAnsi="Wingdings" w:hint="default"/>
      </w:rPr>
    </w:lvl>
  </w:abstractNum>
  <w:abstractNum w:abstractNumId="3" w15:restartNumberingAfterBreak="0">
    <w:nsid w:val="12FF750C"/>
    <w:multiLevelType w:val="hybridMultilevel"/>
    <w:tmpl w:val="5F104EF8"/>
    <w:lvl w:ilvl="0" w:tplc="04090001">
      <w:start w:val="1"/>
      <w:numFmt w:val="bullet"/>
      <w:lvlText w:val=""/>
      <w:lvlJc w:val="left"/>
      <w:pPr>
        <w:ind w:left="1086" w:hanging="360"/>
      </w:pPr>
      <w:rPr>
        <w:rFonts w:ascii="Symbol" w:hAnsi="Symbol" w:hint="default"/>
      </w:rPr>
    </w:lvl>
    <w:lvl w:ilvl="1" w:tplc="04090003" w:tentative="1">
      <w:start w:val="1"/>
      <w:numFmt w:val="bullet"/>
      <w:lvlText w:val="o"/>
      <w:lvlJc w:val="left"/>
      <w:pPr>
        <w:ind w:left="1806" w:hanging="360"/>
      </w:pPr>
      <w:rPr>
        <w:rFonts w:ascii="Courier New" w:hAnsi="Courier New" w:cs="Courier New" w:hint="default"/>
      </w:rPr>
    </w:lvl>
    <w:lvl w:ilvl="2" w:tplc="04090005" w:tentative="1">
      <w:start w:val="1"/>
      <w:numFmt w:val="bullet"/>
      <w:lvlText w:val=""/>
      <w:lvlJc w:val="left"/>
      <w:pPr>
        <w:ind w:left="2526" w:hanging="360"/>
      </w:pPr>
      <w:rPr>
        <w:rFonts w:ascii="Wingdings" w:hAnsi="Wingdings" w:hint="default"/>
      </w:rPr>
    </w:lvl>
    <w:lvl w:ilvl="3" w:tplc="04090001" w:tentative="1">
      <w:start w:val="1"/>
      <w:numFmt w:val="bullet"/>
      <w:lvlText w:val=""/>
      <w:lvlJc w:val="left"/>
      <w:pPr>
        <w:ind w:left="3246" w:hanging="360"/>
      </w:pPr>
      <w:rPr>
        <w:rFonts w:ascii="Symbol" w:hAnsi="Symbol" w:hint="default"/>
      </w:rPr>
    </w:lvl>
    <w:lvl w:ilvl="4" w:tplc="04090003" w:tentative="1">
      <w:start w:val="1"/>
      <w:numFmt w:val="bullet"/>
      <w:lvlText w:val="o"/>
      <w:lvlJc w:val="left"/>
      <w:pPr>
        <w:ind w:left="3966" w:hanging="360"/>
      </w:pPr>
      <w:rPr>
        <w:rFonts w:ascii="Courier New" w:hAnsi="Courier New" w:cs="Courier New" w:hint="default"/>
      </w:rPr>
    </w:lvl>
    <w:lvl w:ilvl="5" w:tplc="04090005" w:tentative="1">
      <w:start w:val="1"/>
      <w:numFmt w:val="bullet"/>
      <w:lvlText w:val=""/>
      <w:lvlJc w:val="left"/>
      <w:pPr>
        <w:ind w:left="4686" w:hanging="360"/>
      </w:pPr>
      <w:rPr>
        <w:rFonts w:ascii="Wingdings" w:hAnsi="Wingdings" w:hint="default"/>
      </w:rPr>
    </w:lvl>
    <w:lvl w:ilvl="6" w:tplc="04090001" w:tentative="1">
      <w:start w:val="1"/>
      <w:numFmt w:val="bullet"/>
      <w:lvlText w:val=""/>
      <w:lvlJc w:val="left"/>
      <w:pPr>
        <w:ind w:left="5406" w:hanging="360"/>
      </w:pPr>
      <w:rPr>
        <w:rFonts w:ascii="Symbol" w:hAnsi="Symbol" w:hint="default"/>
      </w:rPr>
    </w:lvl>
    <w:lvl w:ilvl="7" w:tplc="04090003" w:tentative="1">
      <w:start w:val="1"/>
      <w:numFmt w:val="bullet"/>
      <w:lvlText w:val="o"/>
      <w:lvlJc w:val="left"/>
      <w:pPr>
        <w:ind w:left="6126" w:hanging="360"/>
      </w:pPr>
      <w:rPr>
        <w:rFonts w:ascii="Courier New" w:hAnsi="Courier New" w:cs="Courier New" w:hint="default"/>
      </w:rPr>
    </w:lvl>
    <w:lvl w:ilvl="8" w:tplc="04090005" w:tentative="1">
      <w:start w:val="1"/>
      <w:numFmt w:val="bullet"/>
      <w:lvlText w:val=""/>
      <w:lvlJc w:val="left"/>
      <w:pPr>
        <w:ind w:left="6846" w:hanging="360"/>
      </w:pPr>
      <w:rPr>
        <w:rFonts w:ascii="Wingdings" w:hAnsi="Wingdings" w:hint="default"/>
      </w:rPr>
    </w:lvl>
  </w:abstractNum>
  <w:abstractNum w:abstractNumId="4" w15:restartNumberingAfterBreak="0">
    <w:nsid w:val="18A5391B"/>
    <w:multiLevelType w:val="hybridMultilevel"/>
    <w:tmpl w:val="0E263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A3A6BA6"/>
    <w:multiLevelType w:val="hybridMultilevel"/>
    <w:tmpl w:val="0BD44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9A117F"/>
    <w:multiLevelType w:val="hybridMultilevel"/>
    <w:tmpl w:val="E5245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15B454F"/>
    <w:multiLevelType w:val="hybridMultilevel"/>
    <w:tmpl w:val="F4CE11CA"/>
    <w:lvl w:ilvl="0" w:tplc="FFFFFFFF">
      <w:start w:val="1"/>
      <w:numFmt w:val="bullet"/>
      <w:lvlText w:val=""/>
      <w:lvlJc w:val="left"/>
      <w:pPr>
        <w:tabs>
          <w:tab w:val="num" w:pos="714"/>
        </w:tabs>
        <w:ind w:left="714" w:hanging="357"/>
      </w:pPr>
      <w:rPr>
        <w:rFonts w:ascii="Symbol" w:hAnsi="Symbol" w:hint="default"/>
      </w:rPr>
    </w:lvl>
    <w:lvl w:ilvl="1" w:tplc="FFFFFFFF" w:tentative="1">
      <w:start w:val="1"/>
      <w:numFmt w:val="bullet"/>
      <w:lvlText w:val="o"/>
      <w:lvlJc w:val="left"/>
      <w:pPr>
        <w:tabs>
          <w:tab w:val="num" w:pos="717"/>
        </w:tabs>
        <w:ind w:left="717" w:hanging="360"/>
      </w:pPr>
      <w:rPr>
        <w:rFonts w:ascii="Courier New" w:hAnsi="Courier New" w:cs="MS Mincho" w:hint="default"/>
      </w:rPr>
    </w:lvl>
    <w:lvl w:ilvl="2" w:tplc="FFFFFFFF" w:tentative="1">
      <w:start w:val="1"/>
      <w:numFmt w:val="bullet"/>
      <w:lvlText w:val=""/>
      <w:lvlJc w:val="left"/>
      <w:pPr>
        <w:tabs>
          <w:tab w:val="num" w:pos="1437"/>
        </w:tabs>
        <w:ind w:left="1437" w:hanging="360"/>
      </w:pPr>
      <w:rPr>
        <w:rFonts w:ascii="Wingdings" w:hAnsi="Wingdings" w:hint="default"/>
      </w:rPr>
    </w:lvl>
    <w:lvl w:ilvl="3" w:tplc="FFFFFFFF" w:tentative="1">
      <w:start w:val="1"/>
      <w:numFmt w:val="bullet"/>
      <w:lvlText w:val=""/>
      <w:lvlJc w:val="left"/>
      <w:pPr>
        <w:tabs>
          <w:tab w:val="num" w:pos="2157"/>
        </w:tabs>
        <w:ind w:left="2157" w:hanging="360"/>
      </w:pPr>
      <w:rPr>
        <w:rFonts w:ascii="Symbol" w:hAnsi="Symbol" w:hint="default"/>
      </w:rPr>
    </w:lvl>
    <w:lvl w:ilvl="4" w:tplc="FFFFFFFF" w:tentative="1">
      <w:start w:val="1"/>
      <w:numFmt w:val="bullet"/>
      <w:lvlText w:val="o"/>
      <w:lvlJc w:val="left"/>
      <w:pPr>
        <w:tabs>
          <w:tab w:val="num" w:pos="2877"/>
        </w:tabs>
        <w:ind w:left="2877" w:hanging="360"/>
      </w:pPr>
      <w:rPr>
        <w:rFonts w:ascii="Courier New" w:hAnsi="Courier New" w:cs="MS Mincho" w:hint="default"/>
      </w:rPr>
    </w:lvl>
    <w:lvl w:ilvl="5" w:tplc="FFFFFFFF" w:tentative="1">
      <w:start w:val="1"/>
      <w:numFmt w:val="bullet"/>
      <w:lvlText w:val=""/>
      <w:lvlJc w:val="left"/>
      <w:pPr>
        <w:tabs>
          <w:tab w:val="num" w:pos="3597"/>
        </w:tabs>
        <w:ind w:left="3597" w:hanging="360"/>
      </w:pPr>
      <w:rPr>
        <w:rFonts w:ascii="Wingdings" w:hAnsi="Wingdings" w:hint="default"/>
      </w:rPr>
    </w:lvl>
    <w:lvl w:ilvl="6" w:tplc="FFFFFFFF" w:tentative="1">
      <w:start w:val="1"/>
      <w:numFmt w:val="bullet"/>
      <w:lvlText w:val=""/>
      <w:lvlJc w:val="left"/>
      <w:pPr>
        <w:tabs>
          <w:tab w:val="num" w:pos="4317"/>
        </w:tabs>
        <w:ind w:left="4317" w:hanging="360"/>
      </w:pPr>
      <w:rPr>
        <w:rFonts w:ascii="Symbol" w:hAnsi="Symbol" w:hint="default"/>
      </w:rPr>
    </w:lvl>
    <w:lvl w:ilvl="7" w:tplc="FFFFFFFF" w:tentative="1">
      <w:start w:val="1"/>
      <w:numFmt w:val="bullet"/>
      <w:lvlText w:val="o"/>
      <w:lvlJc w:val="left"/>
      <w:pPr>
        <w:tabs>
          <w:tab w:val="num" w:pos="5037"/>
        </w:tabs>
        <w:ind w:left="5037" w:hanging="360"/>
      </w:pPr>
      <w:rPr>
        <w:rFonts w:ascii="Courier New" w:hAnsi="Courier New" w:cs="MS Mincho" w:hint="default"/>
      </w:rPr>
    </w:lvl>
    <w:lvl w:ilvl="8" w:tplc="FFFFFFFF" w:tentative="1">
      <w:start w:val="1"/>
      <w:numFmt w:val="bullet"/>
      <w:lvlText w:val=""/>
      <w:lvlJc w:val="left"/>
      <w:pPr>
        <w:tabs>
          <w:tab w:val="num" w:pos="5757"/>
        </w:tabs>
        <w:ind w:left="5757" w:hanging="360"/>
      </w:pPr>
      <w:rPr>
        <w:rFonts w:ascii="Wingdings" w:hAnsi="Wingdings" w:hint="default"/>
      </w:rPr>
    </w:lvl>
  </w:abstractNum>
  <w:abstractNum w:abstractNumId="8" w15:restartNumberingAfterBreak="0">
    <w:nsid w:val="2D456A33"/>
    <w:multiLevelType w:val="hybridMultilevel"/>
    <w:tmpl w:val="020C0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705022B"/>
    <w:multiLevelType w:val="hybridMultilevel"/>
    <w:tmpl w:val="CEB8F98A"/>
    <w:lvl w:ilvl="0" w:tplc="0C090001">
      <w:start w:val="1"/>
      <w:numFmt w:val="bullet"/>
      <w:lvlText w:val=""/>
      <w:lvlJc w:val="left"/>
      <w:pPr>
        <w:ind w:left="1026" w:hanging="360"/>
      </w:pPr>
      <w:rPr>
        <w:rFonts w:ascii="Symbol" w:hAnsi="Symbol" w:hint="default"/>
      </w:rPr>
    </w:lvl>
    <w:lvl w:ilvl="1" w:tplc="0C090003" w:tentative="1">
      <w:start w:val="1"/>
      <w:numFmt w:val="bullet"/>
      <w:lvlText w:val="o"/>
      <w:lvlJc w:val="left"/>
      <w:pPr>
        <w:ind w:left="1746" w:hanging="360"/>
      </w:pPr>
      <w:rPr>
        <w:rFonts w:ascii="Courier New" w:hAnsi="Courier New" w:cs="Courier New" w:hint="default"/>
      </w:rPr>
    </w:lvl>
    <w:lvl w:ilvl="2" w:tplc="0C090005" w:tentative="1">
      <w:start w:val="1"/>
      <w:numFmt w:val="bullet"/>
      <w:lvlText w:val=""/>
      <w:lvlJc w:val="left"/>
      <w:pPr>
        <w:ind w:left="2466" w:hanging="360"/>
      </w:pPr>
      <w:rPr>
        <w:rFonts w:ascii="Wingdings" w:hAnsi="Wingdings" w:hint="default"/>
      </w:rPr>
    </w:lvl>
    <w:lvl w:ilvl="3" w:tplc="0C090001" w:tentative="1">
      <w:start w:val="1"/>
      <w:numFmt w:val="bullet"/>
      <w:lvlText w:val=""/>
      <w:lvlJc w:val="left"/>
      <w:pPr>
        <w:ind w:left="3186" w:hanging="360"/>
      </w:pPr>
      <w:rPr>
        <w:rFonts w:ascii="Symbol" w:hAnsi="Symbol" w:hint="default"/>
      </w:rPr>
    </w:lvl>
    <w:lvl w:ilvl="4" w:tplc="0C090003" w:tentative="1">
      <w:start w:val="1"/>
      <w:numFmt w:val="bullet"/>
      <w:lvlText w:val="o"/>
      <w:lvlJc w:val="left"/>
      <w:pPr>
        <w:ind w:left="3906" w:hanging="360"/>
      </w:pPr>
      <w:rPr>
        <w:rFonts w:ascii="Courier New" w:hAnsi="Courier New" w:cs="Courier New" w:hint="default"/>
      </w:rPr>
    </w:lvl>
    <w:lvl w:ilvl="5" w:tplc="0C090005" w:tentative="1">
      <w:start w:val="1"/>
      <w:numFmt w:val="bullet"/>
      <w:lvlText w:val=""/>
      <w:lvlJc w:val="left"/>
      <w:pPr>
        <w:ind w:left="4626" w:hanging="360"/>
      </w:pPr>
      <w:rPr>
        <w:rFonts w:ascii="Wingdings" w:hAnsi="Wingdings" w:hint="default"/>
      </w:rPr>
    </w:lvl>
    <w:lvl w:ilvl="6" w:tplc="0C090001" w:tentative="1">
      <w:start w:val="1"/>
      <w:numFmt w:val="bullet"/>
      <w:lvlText w:val=""/>
      <w:lvlJc w:val="left"/>
      <w:pPr>
        <w:ind w:left="5346" w:hanging="360"/>
      </w:pPr>
      <w:rPr>
        <w:rFonts w:ascii="Symbol" w:hAnsi="Symbol" w:hint="default"/>
      </w:rPr>
    </w:lvl>
    <w:lvl w:ilvl="7" w:tplc="0C090003" w:tentative="1">
      <w:start w:val="1"/>
      <w:numFmt w:val="bullet"/>
      <w:lvlText w:val="o"/>
      <w:lvlJc w:val="left"/>
      <w:pPr>
        <w:ind w:left="6066" w:hanging="360"/>
      </w:pPr>
      <w:rPr>
        <w:rFonts w:ascii="Courier New" w:hAnsi="Courier New" w:cs="Courier New" w:hint="default"/>
      </w:rPr>
    </w:lvl>
    <w:lvl w:ilvl="8" w:tplc="0C090005" w:tentative="1">
      <w:start w:val="1"/>
      <w:numFmt w:val="bullet"/>
      <w:lvlText w:val=""/>
      <w:lvlJc w:val="left"/>
      <w:pPr>
        <w:ind w:left="6786" w:hanging="360"/>
      </w:pPr>
      <w:rPr>
        <w:rFonts w:ascii="Wingdings" w:hAnsi="Wingdings" w:hint="default"/>
      </w:rPr>
    </w:lvl>
  </w:abstractNum>
  <w:abstractNum w:abstractNumId="10" w15:restartNumberingAfterBreak="0">
    <w:nsid w:val="441C3789"/>
    <w:multiLevelType w:val="hybridMultilevel"/>
    <w:tmpl w:val="709EEE30"/>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11" w15:restartNumberingAfterBreak="0">
    <w:nsid w:val="457E3156"/>
    <w:multiLevelType w:val="hybridMultilevel"/>
    <w:tmpl w:val="00762E70"/>
    <w:lvl w:ilvl="0" w:tplc="0C090001">
      <w:start w:val="1"/>
      <w:numFmt w:val="bullet"/>
      <w:lvlText w:val=""/>
      <w:lvlJc w:val="left"/>
      <w:pPr>
        <w:ind w:left="1026" w:hanging="360"/>
      </w:pPr>
      <w:rPr>
        <w:rFonts w:ascii="Symbol" w:hAnsi="Symbol" w:hint="default"/>
      </w:rPr>
    </w:lvl>
    <w:lvl w:ilvl="1" w:tplc="0C090003" w:tentative="1">
      <w:start w:val="1"/>
      <w:numFmt w:val="bullet"/>
      <w:lvlText w:val="o"/>
      <w:lvlJc w:val="left"/>
      <w:pPr>
        <w:ind w:left="1746" w:hanging="360"/>
      </w:pPr>
      <w:rPr>
        <w:rFonts w:ascii="Courier New" w:hAnsi="Courier New" w:cs="Courier New" w:hint="default"/>
      </w:rPr>
    </w:lvl>
    <w:lvl w:ilvl="2" w:tplc="0C090005" w:tentative="1">
      <w:start w:val="1"/>
      <w:numFmt w:val="bullet"/>
      <w:lvlText w:val=""/>
      <w:lvlJc w:val="left"/>
      <w:pPr>
        <w:ind w:left="2466" w:hanging="360"/>
      </w:pPr>
      <w:rPr>
        <w:rFonts w:ascii="Wingdings" w:hAnsi="Wingdings" w:hint="default"/>
      </w:rPr>
    </w:lvl>
    <w:lvl w:ilvl="3" w:tplc="0C090001" w:tentative="1">
      <w:start w:val="1"/>
      <w:numFmt w:val="bullet"/>
      <w:lvlText w:val=""/>
      <w:lvlJc w:val="left"/>
      <w:pPr>
        <w:ind w:left="3186" w:hanging="360"/>
      </w:pPr>
      <w:rPr>
        <w:rFonts w:ascii="Symbol" w:hAnsi="Symbol" w:hint="default"/>
      </w:rPr>
    </w:lvl>
    <w:lvl w:ilvl="4" w:tplc="0C090003" w:tentative="1">
      <w:start w:val="1"/>
      <w:numFmt w:val="bullet"/>
      <w:lvlText w:val="o"/>
      <w:lvlJc w:val="left"/>
      <w:pPr>
        <w:ind w:left="3906" w:hanging="360"/>
      </w:pPr>
      <w:rPr>
        <w:rFonts w:ascii="Courier New" w:hAnsi="Courier New" w:cs="Courier New" w:hint="default"/>
      </w:rPr>
    </w:lvl>
    <w:lvl w:ilvl="5" w:tplc="0C090005" w:tentative="1">
      <w:start w:val="1"/>
      <w:numFmt w:val="bullet"/>
      <w:lvlText w:val=""/>
      <w:lvlJc w:val="left"/>
      <w:pPr>
        <w:ind w:left="4626" w:hanging="360"/>
      </w:pPr>
      <w:rPr>
        <w:rFonts w:ascii="Wingdings" w:hAnsi="Wingdings" w:hint="default"/>
      </w:rPr>
    </w:lvl>
    <w:lvl w:ilvl="6" w:tplc="0C090001" w:tentative="1">
      <w:start w:val="1"/>
      <w:numFmt w:val="bullet"/>
      <w:lvlText w:val=""/>
      <w:lvlJc w:val="left"/>
      <w:pPr>
        <w:ind w:left="5346" w:hanging="360"/>
      </w:pPr>
      <w:rPr>
        <w:rFonts w:ascii="Symbol" w:hAnsi="Symbol" w:hint="default"/>
      </w:rPr>
    </w:lvl>
    <w:lvl w:ilvl="7" w:tplc="0C090003" w:tentative="1">
      <w:start w:val="1"/>
      <w:numFmt w:val="bullet"/>
      <w:lvlText w:val="o"/>
      <w:lvlJc w:val="left"/>
      <w:pPr>
        <w:ind w:left="6066" w:hanging="360"/>
      </w:pPr>
      <w:rPr>
        <w:rFonts w:ascii="Courier New" w:hAnsi="Courier New" w:cs="Courier New" w:hint="default"/>
      </w:rPr>
    </w:lvl>
    <w:lvl w:ilvl="8" w:tplc="0C090005" w:tentative="1">
      <w:start w:val="1"/>
      <w:numFmt w:val="bullet"/>
      <w:lvlText w:val=""/>
      <w:lvlJc w:val="left"/>
      <w:pPr>
        <w:ind w:left="6786" w:hanging="360"/>
      </w:pPr>
      <w:rPr>
        <w:rFonts w:ascii="Wingdings" w:hAnsi="Wingdings" w:hint="default"/>
      </w:rPr>
    </w:lvl>
  </w:abstractNum>
  <w:abstractNum w:abstractNumId="12" w15:restartNumberingAfterBreak="0">
    <w:nsid w:val="5F050481"/>
    <w:multiLevelType w:val="hybridMultilevel"/>
    <w:tmpl w:val="18864F9A"/>
    <w:lvl w:ilvl="0" w:tplc="FFFFFFFF">
      <w:start w:val="1"/>
      <w:numFmt w:val="bullet"/>
      <w:lvlText w:val=""/>
      <w:lvlJc w:val="left"/>
      <w:pPr>
        <w:tabs>
          <w:tab w:val="num" w:pos="714"/>
        </w:tabs>
        <w:ind w:left="714" w:hanging="357"/>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MS Mincho"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MS Mincho"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MS Mincho"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5FD95A19"/>
    <w:multiLevelType w:val="hybridMultilevel"/>
    <w:tmpl w:val="77569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B64225F"/>
    <w:multiLevelType w:val="hybridMultilevel"/>
    <w:tmpl w:val="BA607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5273A78"/>
    <w:multiLevelType w:val="hybridMultilevel"/>
    <w:tmpl w:val="AA809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7181DED"/>
    <w:multiLevelType w:val="hybridMultilevel"/>
    <w:tmpl w:val="A4C6F280"/>
    <w:lvl w:ilvl="0" w:tplc="0C090001">
      <w:start w:val="1"/>
      <w:numFmt w:val="bullet"/>
      <w:lvlText w:val=""/>
      <w:lvlJc w:val="left"/>
      <w:pPr>
        <w:ind w:left="1026" w:hanging="360"/>
      </w:pPr>
      <w:rPr>
        <w:rFonts w:ascii="Symbol" w:hAnsi="Symbol" w:hint="default"/>
      </w:rPr>
    </w:lvl>
    <w:lvl w:ilvl="1" w:tplc="0C090003" w:tentative="1">
      <w:start w:val="1"/>
      <w:numFmt w:val="bullet"/>
      <w:lvlText w:val="o"/>
      <w:lvlJc w:val="left"/>
      <w:pPr>
        <w:ind w:left="1746" w:hanging="360"/>
      </w:pPr>
      <w:rPr>
        <w:rFonts w:ascii="Courier New" w:hAnsi="Courier New" w:cs="Courier New" w:hint="default"/>
      </w:rPr>
    </w:lvl>
    <w:lvl w:ilvl="2" w:tplc="0C090005" w:tentative="1">
      <w:start w:val="1"/>
      <w:numFmt w:val="bullet"/>
      <w:lvlText w:val=""/>
      <w:lvlJc w:val="left"/>
      <w:pPr>
        <w:ind w:left="2466" w:hanging="360"/>
      </w:pPr>
      <w:rPr>
        <w:rFonts w:ascii="Wingdings" w:hAnsi="Wingdings" w:hint="default"/>
      </w:rPr>
    </w:lvl>
    <w:lvl w:ilvl="3" w:tplc="0C090001" w:tentative="1">
      <w:start w:val="1"/>
      <w:numFmt w:val="bullet"/>
      <w:lvlText w:val=""/>
      <w:lvlJc w:val="left"/>
      <w:pPr>
        <w:ind w:left="3186" w:hanging="360"/>
      </w:pPr>
      <w:rPr>
        <w:rFonts w:ascii="Symbol" w:hAnsi="Symbol" w:hint="default"/>
      </w:rPr>
    </w:lvl>
    <w:lvl w:ilvl="4" w:tplc="0C090003" w:tentative="1">
      <w:start w:val="1"/>
      <w:numFmt w:val="bullet"/>
      <w:lvlText w:val="o"/>
      <w:lvlJc w:val="left"/>
      <w:pPr>
        <w:ind w:left="3906" w:hanging="360"/>
      </w:pPr>
      <w:rPr>
        <w:rFonts w:ascii="Courier New" w:hAnsi="Courier New" w:cs="Courier New" w:hint="default"/>
      </w:rPr>
    </w:lvl>
    <w:lvl w:ilvl="5" w:tplc="0C090005" w:tentative="1">
      <w:start w:val="1"/>
      <w:numFmt w:val="bullet"/>
      <w:lvlText w:val=""/>
      <w:lvlJc w:val="left"/>
      <w:pPr>
        <w:ind w:left="4626" w:hanging="360"/>
      </w:pPr>
      <w:rPr>
        <w:rFonts w:ascii="Wingdings" w:hAnsi="Wingdings" w:hint="default"/>
      </w:rPr>
    </w:lvl>
    <w:lvl w:ilvl="6" w:tplc="0C090001" w:tentative="1">
      <w:start w:val="1"/>
      <w:numFmt w:val="bullet"/>
      <w:lvlText w:val=""/>
      <w:lvlJc w:val="left"/>
      <w:pPr>
        <w:ind w:left="5346" w:hanging="360"/>
      </w:pPr>
      <w:rPr>
        <w:rFonts w:ascii="Symbol" w:hAnsi="Symbol" w:hint="default"/>
      </w:rPr>
    </w:lvl>
    <w:lvl w:ilvl="7" w:tplc="0C090003" w:tentative="1">
      <w:start w:val="1"/>
      <w:numFmt w:val="bullet"/>
      <w:lvlText w:val="o"/>
      <w:lvlJc w:val="left"/>
      <w:pPr>
        <w:ind w:left="6066" w:hanging="360"/>
      </w:pPr>
      <w:rPr>
        <w:rFonts w:ascii="Courier New" w:hAnsi="Courier New" w:cs="Courier New" w:hint="default"/>
      </w:rPr>
    </w:lvl>
    <w:lvl w:ilvl="8" w:tplc="0C090005" w:tentative="1">
      <w:start w:val="1"/>
      <w:numFmt w:val="bullet"/>
      <w:lvlText w:val=""/>
      <w:lvlJc w:val="left"/>
      <w:pPr>
        <w:ind w:left="6786" w:hanging="360"/>
      </w:pPr>
      <w:rPr>
        <w:rFonts w:ascii="Wingdings" w:hAnsi="Wingdings" w:hint="default"/>
      </w:rPr>
    </w:lvl>
  </w:abstractNum>
  <w:abstractNum w:abstractNumId="17" w15:restartNumberingAfterBreak="0">
    <w:nsid w:val="77623CC3"/>
    <w:multiLevelType w:val="hybridMultilevel"/>
    <w:tmpl w:val="84C880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B665ABB"/>
    <w:multiLevelType w:val="hybridMultilevel"/>
    <w:tmpl w:val="16225EDA"/>
    <w:lvl w:ilvl="0" w:tplc="FFFFFFFF">
      <w:start w:val="1"/>
      <w:numFmt w:val="bullet"/>
      <w:lvlText w:val=""/>
      <w:lvlJc w:val="left"/>
      <w:pPr>
        <w:tabs>
          <w:tab w:val="num" w:pos="714"/>
        </w:tabs>
        <w:ind w:left="714" w:hanging="35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6"/>
  </w:num>
  <w:num w:numId="4">
    <w:abstractNumId w:val="12"/>
  </w:num>
  <w:num w:numId="5">
    <w:abstractNumId w:val="7"/>
  </w:num>
  <w:num w:numId="6">
    <w:abstractNumId w:val="15"/>
  </w:num>
  <w:num w:numId="7">
    <w:abstractNumId w:val="1"/>
  </w:num>
  <w:num w:numId="8">
    <w:abstractNumId w:val="18"/>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7"/>
  </w:num>
  <w:num w:numId="12">
    <w:abstractNumId w:val="0"/>
  </w:num>
  <w:num w:numId="13">
    <w:abstractNumId w:val="3"/>
  </w:num>
  <w:num w:numId="14">
    <w:abstractNumId w:val="10"/>
  </w:num>
  <w:num w:numId="15">
    <w:abstractNumId w:val="11"/>
  </w:num>
  <w:num w:numId="16">
    <w:abstractNumId w:val="16"/>
  </w:num>
  <w:num w:numId="17">
    <w:abstractNumId w:val="5"/>
  </w:num>
  <w:num w:numId="18">
    <w:abstractNumId w:val="9"/>
  </w:num>
  <w:num w:numId="19">
    <w:abstractNumId w:val="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6234"/>
    <w:rsid w:val="00022352"/>
    <w:rsid w:val="00033E9F"/>
    <w:rsid w:val="00065DF4"/>
    <w:rsid w:val="00065FE7"/>
    <w:rsid w:val="00091090"/>
    <w:rsid w:val="001138DB"/>
    <w:rsid w:val="00143F06"/>
    <w:rsid w:val="0015432B"/>
    <w:rsid w:val="001865AC"/>
    <w:rsid w:val="001A2BA5"/>
    <w:rsid w:val="001A5658"/>
    <w:rsid w:val="00201153"/>
    <w:rsid w:val="00244779"/>
    <w:rsid w:val="0029413F"/>
    <w:rsid w:val="002A30F6"/>
    <w:rsid w:val="002B5838"/>
    <w:rsid w:val="002E0EF1"/>
    <w:rsid w:val="002E1176"/>
    <w:rsid w:val="00315884"/>
    <w:rsid w:val="0038559E"/>
    <w:rsid w:val="0039243C"/>
    <w:rsid w:val="00395407"/>
    <w:rsid w:val="003A09FD"/>
    <w:rsid w:val="003D3C62"/>
    <w:rsid w:val="004261ED"/>
    <w:rsid w:val="00430252"/>
    <w:rsid w:val="004329C7"/>
    <w:rsid w:val="00453FE2"/>
    <w:rsid w:val="004A6488"/>
    <w:rsid w:val="004B19A9"/>
    <w:rsid w:val="004E40A5"/>
    <w:rsid w:val="0051274C"/>
    <w:rsid w:val="005242F0"/>
    <w:rsid w:val="00526671"/>
    <w:rsid w:val="0054082B"/>
    <w:rsid w:val="005413D3"/>
    <w:rsid w:val="005513F8"/>
    <w:rsid w:val="00565740"/>
    <w:rsid w:val="00646231"/>
    <w:rsid w:val="00656D04"/>
    <w:rsid w:val="00662DB6"/>
    <w:rsid w:val="00670F20"/>
    <w:rsid w:val="006A0AF7"/>
    <w:rsid w:val="006D2FFC"/>
    <w:rsid w:val="006D7D6C"/>
    <w:rsid w:val="006E1CAF"/>
    <w:rsid w:val="00700A24"/>
    <w:rsid w:val="007971AA"/>
    <w:rsid w:val="007C11BD"/>
    <w:rsid w:val="007C3537"/>
    <w:rsid w:val="00835E31"/>
    <w:rsid w:val="008926D4"/>
    <w:rsid w:val="00897632"/>
    <w:rsid w:val="008D702C"/>
    <w:rsid w:val="008E24D9"/>
    <w:rsid w:val="00943A44"/>
    <w:rsid w:val="00961CAA"/>
    <w:rsid w:val="009646F4"/>
    <w:rsid w:val="009826F5"/>
    <w:rsid w:val="00987C7F"/>
    <w:rsid w:val="009925D8"/>
    <w:rsid w:val="009A0116"/>
    <w:rsid w:val="009B3663"/>
    <w:rsid w:val="009C5E50"/>
    <w:rsid w:val="009D4315"/>
    <w:rsid w:val="009F0059"/>
    <w:rsid w:val="00A060F5"/>
    <w:rsid w:val="00A06234"/>
    <w:rsid w:val="00A36D37"/>
    <w:rsid w:val="00A87688"/>
    <w:rsid w:val="00A93B43"/>
    <w:rsid w:val="00A93FEC"/>
    <w:rsid w:val="00A96337"/>
    <w:rsid w:val="00AA3510"/>
    <w:rsid w:val="00AA38B9"/>
    <w:rsid w:val="00AF1399"/>
    <w:rsid w:val="00B66F6D"/>
    <w:rsid w:val="00B747BA"/>
    <w:rsid w:val="00B91026"/>
    <w:rsid w:val="00B956BE"/>
    <w:rsid w:val="00B9600E"/>
    <w:rsid w:val="00B97531"/>
    <w:rsid w:val="00BB57DC"/>
    <w:rsid w:val="00BD0903"/>
    <w:rsid w:val="00C31EB3"/>
    <w:rsid w:val="00C46927"/>
    <w:rsid w:val="00C61E83"/>
    <w:rsid w:val="00C71569"/>
    <w:rsid w:val="00C755E5"/>
    <w:rsid w:val="00CB2B90"/>
    <w:rsid w:val="00CC7D4D"/>
    <w:rsid w:val="00CE1757"/>
    <w:rsid w:val="00D110B1"/>
    <w:rsid w:val="00DA58B9"/>
    <w:rsid w:val="00DC7982"/>
    <w:rsid w:val="00DE2ED7"/>
    <w:rsid w:val="00DE770B"/>
    <w:rsid w:val="00DF3E68"/>
    <w:rsid w:val="00E348E8"/>
    <w:rsid w:val="00E34F44"/>
    <w:rsid w:val="00E55F1C"/>
    <w:rsid w:val="00E77422"/>
    <w:rsid w:val="00E8550F"/>
    <w:rsid w:val="00EA15F1"/>
    <w:rsid w:val="00F84B8D"/>
    <w:rsid w:val="00FA3293"/>
    <w:rsid w:val="00FC4AEC"/>
    <w:rsid w:val="00FF1A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AB9D10D"/>
  <w15:docId w15:val="{70A38AB7-43AA-47E5-AC35-0DA1F16F1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43C"/>
    <w:pPr>
      <w:spacing w:line="360" w:lineRule="auto"/>
    </w:pPr>
    <w:rPr>
      <w:rFonts w:asciiTheme="majorHAnsi" w:hAnsiTheme="majorHAnsi" w:cs="Arial"/>
    </w:rPr>
  </w:style>
  <w:style w:type="paragraph" w:styleId="Heading1">
    <w:name w:val="heading 1"/>
    <w:basedOn w:val="Normal"/>
    <w:next w:val="Normal"/>
    <w:link w:val="Heading1Char"/>
    <w:uiPriority w:val="9"/>
    <w:qFormat/>
    <w:rsid w:val="003A09FD"/>
    <w:pPr>
      <w:keepNext/>
      <w:keepLines/>
      <w:spacing w:before="480" w:after="0"/>
      <w:outlineLvl w:val="0"/>
    </w:pPr>
    <w:rPr>
      <w:rFonts w:eastAsiaTheme="majorEastAsia" w:cstheme="majorBidi"/>
      <w:bCs/>
      <w:color w:val="4A7090" w:themeColor="background2" w:themeShade="80"/>
      <w:spacing w:val="-8"/>
      <w:sz w:val="56"/>
      <w:szCs w:val="56"/>
    </w:rPr>
  </w:style>
  <w:style w:type="paragraph" w:styleId="Heading2">
    <w:name w:val="heading 2"/>
    <w:basedOn w:val="Normal"/>
    <w:next w:val="Normal"/>
    <w:link w:val="Heading2Char"/>
    <w:uiPriority w:val="9"/>
    <w:unhideWhenUsed/>
    <w:qFormat/>
    <w:rsid w:val="00244779"/>
    <w:pPr>
      <w:keepNext/>
      <w:keepLines/>
      <w:spacing w:before="200" w:after="0" w:line="240" w:lineRule="auto"/>
      <w:outlineLvl w:val="1"/>
    </w:pPr>
    <w:rPr>
      <w:rFonts w:eastAsiaTheme="majorEastAsia" w:cstheme="majorBidi"/>
      <w:bCs/>
      <w:color w:val="FFFFFF" w:themeColor="background1"/>
      <w:sz w:val="44"/>
      <w:szCs w:val="44"/>
    </w:rPr>
  </w:style>
  <w:style w:type="paragraph" w:styleId="Heading3">
    <w:name w:val="heading 3"/>
    <w:basedOn w:val="Subtitle"/>
    <w:next w:val="Normal"/>
    <w:link w:val="Heading3Char"/>
    <w:uiPriority w:val="9"/>
    <w:unhideWhenUsed/>
    <w:qFormat/>
    <w:rsid w:val="00961CAA"/>
    <w:pPr>
      <w:outlineLvl w:val="2"/>
    </w:pPr>
    <w:rPr>
      <w:b/>
      <w:i w:val="0"/>
      <w:color w:val="000000" w:themeColor="text1"/>
      <w:spacing w:val="0"/>
      <w:sz w:val="28"/>
      <w:szCs w:val="28"/>
    </w:rPr>
  </w:style>
  <w:style w:type="paragraph" w:styleId="Heading4">
    <w:name w:val="heading 4"/>
    <w:basedOn w:val="Normal"/>
    <w:next w:val="Normal"/>
    <w:link w:val="Heading4Char"/>
    <w:uiPriority w:val="9"/>
    <w:unhideWhenUsed/>
    <w:qFormat/>
    <w:rsid w:val="00244779"/>
    <w:pPr>
      <w:keepNext/>
      <w:keepLines/>
      <w:spacing w:before="200" w:after="0"/>
      <w:outlineLvl w:val="3"/>
    </w:pPr>
    <w:rPr>
      <w:rFonts w:eastAsiaTheme="majorEastAsia" w:cstheme="majorBidi"/>
      <w:bCs/>
      <w:iCs/>
      <w:color w:val="3494BA" w:themeColor="accent1"/>
      <w:sz w:val="28"/>
      <w:szCs w:val="28"/>
    </w:rPr>
  </w:style>
  <w:style w:type="paragraph" w:styleId="Heading5">
    <w:name w:val="heading 5"/>
    <w:basedOn w:val="Normal"/>
    <w:next w:val="Normal"/>
    <w:link w:val="Heading5Char"/>
    <w:uiPriority w:val="9"/>
    <w:semiHidden/>
    <w:unhideWhenUsed/>
    <w:qFormat/>
    <w:rsid w:val="00C46927"/>
    <w:pPr>
      <w:keepNext/>
      <w:keepLines/>
      <w:spacing w:before="200" w:after="0"/>
      <w:outlineLvl w:val="4"/>
    </w:pPr>
    <w:rPr>
      <w:rFonts w:eastAsiaTheme="majorEastAsia" w:cstheme="majorBidi"/>
      <w:color w:val="1A495C" w:themeColor="accent1" w:themeShade="7F"/>
    </w:rPr>
  </w:style>
  <w:style w:type="paragraph" w:styleId="Heading6">
    <w:name w:val="heading 6"/>
    <w:basedOn w:val="Normal"/>
    <w:next w:val="Normal"/>
    <w:link w:val="Heading6Char"/>
    <w:uiPriority w:val="9"/>
    <w:semiHidden/>
    <w:unhideWhenUsed/>
    <w:qFormat/>
    <w:rsid w:val="00C46927"/>
    <w:pPr>
      <w:keepNext/>
      <w:keepLines/>
      <w:spacing w:before="200" w:after="0"/>
      <w:outlineLvl w:val="5"/>
    </w:pPr>
    <w:rPr>
      <w:rFonts w:eastAsiaTheme="majorEastAsia" w:cstheme="majorBidi"/>
      <w:i/>
      <w:iCs/>
      <w:color w:val="1A495C" w:themeColor="accent1" w:themeShade="7F"/>
    </w:rPr>
  </w:style>
  <w:style w:type="paragraph" w:styleId="Heading7">
    <w:name w:val="heading 7"/>
    <w:basedOn w:val="Normal"/>
    <w:next w:val="Normal"/>
    <w:link w:val="Heading7Char"/>
    <w:uiPriority w:val="9"/>
    <w:semiHidden/>
    <w:unhideWhenUsed/>
    <w:qFormat/>
    <w:rsid w:val="00C46927"/>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C46927"/>
    <w:pPr>
      <w:keepNext/>
      <w:keepLines/>
      <w:spacing w:before="200" w:after="0"/>
      <w:outlineLvl w:val="7"/>
    </w:pPr>
    <w:rPr>
      <w:rFonts w:eastAsiaTheme="majorEastAsia" w:cstheme="majorBidi"/>
      <w:color w:val="3494BA" w:themeColor="accent1"/>
      <w:sz w:val="20"/>
      <w:szCs w:val="20"/>
    </w:rPr>
  </w:style>
  <w:style w:type="paragraph" w:styleId="Heading9">
    <w:name w:val="heading 9"/>
    <w:basedOn w:val="Normal"/>
    <w:next w:val="Normal"/>
    <w:link w:val="Heading9Char"/>
    <w:uiPriority w:val="9"/>
    <w:semiHidden/>
    <w:unhideWhenUsed/>
    <w:qFormat/>
    <w:rsid w:val="00C46927"/>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4779"/>
    <w:rPr>
      <w:rFonts w:asciiTheme="majorHAnsi" w:eastAsiaTheme="majorEastAsia" w:hAnsiTheme="majorHAnsi" w:cstheme="majorBidi"/>
      <w:bCs/>
      <w:color w:val="FFFFFF" w:themeColor="background1"/>
      <w:sz w:val="44"/>
      <w:szCs w:val="44"/>
    </w:rPr>
  </w:style>
  <w:style w:type="paragraph" w:styleId="ListParagraph">
    <w:name w:val="List Paragraph"/>
    <w:basedOn w:val="Normal"/>
    <w:uiPriority w:val="34"/>
    <w:qFormat/>
    <w:rsid w:val="00C46927"/>
    <w:pPr>
      <w:ind w:left="720"/>
      <w:contextualSpacing/>
    </w:pPr>
  </w:style>
  <w:style w:type="table" w:styleId="TableGrid">
    <w:name w:val="Table Grid"/>
    <w:basedOn w:val="TableNormal"/>
    <w:uiPriority w:val="59"/>
    <w:rsid w:val="00A06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65AC"/>
    <w:rPr>
      <w:color w:val="60143E"/>
      <w:u w:val="single"/>
    </w:rPr>
  </w:style>
  <w:style w:type="paragraph" w:customStyle="1" w:styleId="summary">
    <w:name w:val="summary"/>
    <w:basedOn w:val="Normal"/>
    <w:rsid w:val="00A0623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06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234"/>
    <w:rPr>
      <w:rFonts w:ascii="Tahoma" w:hAnsi="Tahoma" w:cs="Tahoma"/>
      <w:sz w:val="16"/>
      <w:szCs w:val="16"/>
    </w:rPr>
  </w:style>
  <w:style w:type="paragraph" w:styleId="NormalWeb">
    <w:name w:val="Normal (Web)"/>
    <w:basedOn w:val="Normal"/>
    <w:uiPriority w:val="99"/>
    <w:semiHidden/>
    <w:unhideWhenUsed/>
    <w:rsid w:val="00C31EB3"/>
    <w:pPr>
      <w:spacing w:before="100" w:beforeAutospacing="1" w:after="100" w:afterAutospacing="1" w:line="240" w:lineRule="auto"/>
    </w:pPr>
    <w:rPr>
      <w:rFonts w:ascii="Times New Roman" w:hAnsi="Times New Roman" w:cs="Times New Roman"/>
      <w:sz w:val="24"/>
      <w:szCs w:val="24"/>
      <w:lang w:eastAsia="en-AU"/>
    </w:rPr>
  </w:style>
  <w:style w:type="paragraph" w:styleId="Header">
    <w:name w:val="header"/>
    <w:basedOn w:val="Normal"/>
    <w:link w:val="HeaderChar"/>
    <w:uiPriority w:val="99"/>
    <w:unhideWhenUsed/>
    <w:rsid w:val="003158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884"/>
  </w:style>
  <w:style w:type="paragraph" w:styleId="Footer">
    <w:name w:val="footer"/>
    <w:basedOn w:val="Normal"/>
    <w:link w:val="FooterChar"/>
    <w:uiPriority w:val="99"/>
    <w:unhideWhenUsed/>
    <w:rsid w:val="003158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884"/>
  </w:style>
  <w:style w:type="paragraph" w:styleId="Title">
    <w:name w:val="Title"/>
    <w:basedOn w:val="Normal"/>
    <w:next w:val="Normal"/>
    <w:link w:val="TitleChar"/>
    <w:uiPriority w:val="10"/>
    <w:qFormat/>
    <w:rsid w:val="00C46927"/>
    <w:pPr>
      <w:pBdr>
        <w:bottom w:val="single" w:sz="8" w:space="4" w:color="3494BA" w:themeColor="accent1"/>
      </w:pBdr>
      <w:spacing w:after="300" w:line="240" w:lineRule="auto"/>
      <w:contextualSpacing/>
    </w:pPr>
    <w:rPr>
      <w:rFonts w:eastAsiaTheme="majorEastAsia" w:cstheme="majorBidi"/>
      <w:color w:val="292733" w:themeColor="text2" w:themeShade="BF"/>
      <w:spacing w:val="5"/>
      <w:kern w:val="28"/>
      <w:sz w:val="52"/>
      <w:szCs w:val="52"/>
    </w:rPr>
  </w:style>
  <w:style w:type="character" w:customStyle="1" w:styleId="TitleChar">
    <w:name w:val="Title Char"/>
    <w:basedOn w:val="DefaultParagraphFont"/>
    <w:link w:val="Title"/>
    <w:uiPriority w:val="10"/>
    <w:rsid w:val="00C46927"/>
    <w:rPr>
      <w:rFonts w:asciiTheme="majorHAnsi" w:eastAsiaTheme="majorEastAsia" w:hAnsiTheme="majorHAnsi" w:cstheme="majorBidi"/>
      <w:color w:val="292733" w:themeColor="text2" w:themeShade="BF"/>
      <w:spacing w:val="5"/>
      <w:kern w:val="28"/>
      <w:sz w:val="52"/>
      <w:szCs w:val="52"/>
    </w:rPr>
  </w:style>
  <w:style w:type="character" w:customStyle="1" w:styleId="Heading1Char">
    <w:name w:val="Heading 1 Char"/>
    <w:basedOn w:val="DefaultParagraphFont"/>
    <w:link w:val="Heading1"/>
    <w:uiPriority w:val="9"/>
    <w:rsid w:val="003A09FD"/>
    <w:rPr>
      <w:rFonts w:asciiTheme="majorHAnsi" w:eastAsiaTheme="majorEastAsia" w:hAnsiTheme="majorHAnsi" w:cstheme="majorBidi"/>
      <w:bCs/>
      <w:color w:val="4A7090" w:themeColor="background2" w:themeShade="80"/>
      <w:spacing w:val="-8"/>
      <w:sz w:val="56"/>
      <w:szCs w:val="56"/>
    </w:rPr>
  </w:style>
  <w:style w:type="character" w:customStyle="1" w:styleId="Heading3Char">
    <w:name w:val="Heading 3 Char"/>
    <w:basedOn w:val="DefaultParagraphFont"/>
    <w:link w:val="Heading3"/>
    <w:uiPriority w:val="9"/>
    <w:rsid w:val="00961CAA"/>
    <w:rPr>
      <w:rFonts w:asciiTheme="majorHAnsi" w:eastAsiaTheme="majorEastAsia" w:hAnsiTheme="majorHAnsi" w:cstheme="majorBidi"/>
      <w:b/>
      <w:iCs/>
      <w:color w:val="000000" w:themeColor="text1"/>
      <w:sz w:val="28"/>
      <w:szCs w:val="28"/>
    </w:rPr>
  </w:style>
  <w:style w:type="character" w:customStyle="1" w:styleId="Heading4Char">
    <w:name w:val="Heading 4 Char"/>
    <w:basedOn w:val="DefaultParagraphFont"/>
    <w:link w:val="Heading4"/>
    <w:uiPriority w:val="9"/>
    <w:rsid w:val="00244779"/>
    <w:rPr>
      <w:rFonts w:asciiTheme="majorHAnsi" w:eastAsiaTheme="majorEastAsia" w:hAnsiTheme="majorHAnsi" w:cstheme="majorBidi"/>
      <w:bCs/>
      <w:iCs/>
      <w:color w:val="3494BA" w:themeColor="accent1"/>
      <w:sz w:val="28"/>
      <w:szCs w:val="28"/>
    </w:rPr>
  </w:style>
  <w:style w:type="character" w:customStyle="1" w:styleId="Heading5Char">
    <w:name w:val="Heading 5 Char"/>
    <w:basedOn w:val="DefaultParagraphFont"/>
    <w:link w:val="Heading5"/>
    <w:uiPriority w:val="9"/>
    <w:semiHidden/>
    <w:rsid w:val="00C46927"/>
    <w:rPr>
      <w:rFonts w:asciiTheme="majorHAnsi" w:eastAsiaTheme="majorEastAsia" w:hAnsiTheme="majorHAnsi" w:cstheme="majorBidi"/>
      <w:color w:val="1A495C" w:themeColor="accent1" w:themeShade="7F"/>
    </w:rPr>
  </w:style>
  <w:style w:type="character" w:customStyle="1" w:styleId="Heading6Char">
    <w:name w:val="Heading 6 Char"/>
    <w:basedOn w:val="DefaultParagraphFont"/>
    <w:link w:val="Heading6"/>
    <w:uiPriority w:val="9"/>
    <w:semiHidden/>
    <w:rsid w:val="00C46927"/>
    <w:rPr>
      <w:rFonts w:asciiTheme="majorHAnsi" w:eastAsiaTheme="majorEastAsia" w:hAnsiTheme="majorHAnsi" w:cstheme="majorBidi"/>
      <w:i/>
      <w:iCs/>
      <w:color w:val="1A495C" w:themeColor="accent1" w:themeShade="7F"/>
    </w:rPr>
  </w:style>
  <w:style w:type="character" w:customStyle="1" w:styleId="Heading7Char">
    <w:name w:val="Heading 7 Char"/>
    <w:basedOn w:val="DefaultParagraphFont"/>
    <w:link w:val="Heading7"/>
    <w:uiPriority w:val="9"/>
    <w:semiHidden/>
    <w:rsid w:val="00C469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6927"/>
    <w:rPr>
      <w:rFonts w:asciiTheme="majorHAnsi" w:eastAsiaTheme="majorEastAsia" w:hAnsiTheme="majorHAnsi" w:cstheme="majorBidi"/>
      <w:color w:val="3494BA" w:themeColor="accent1"/>
      <w:sz w:val="20"/>
      <w:szCs w:val="20"/>
    </w:rPr>
  </w:style>
  <w:style w:type="character" w:customStyle="1" w:styleId="Heading9Char">
    <w:name w:val="Heading 9 Char"/>
    <w:basedOn w:val="DefaultParagraphFont"/>
    <w:link w:val="Heading9"/>
    <w:uiPriority w:val="9"/>
    <w:semiHidden/>
    <w:rsid w:val="00C4692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46927"/>
    <w:pPr>
      <w:spacing w:line="240" w:lineRule="auto"/>
    </w:pPr>
    <w:rPr>
      <w:b/>
      <w:bCs/>
      <w:color w:val="3494BA" w:themeColor="accent1"/>
      <w:sz w:val="18"/>
      <w:szCs w:val="18"/>
    </w:rPr>
  </w:style>
  <w:style w:type="paragraph" w:styleId="Subtitle">
    <w:name w:val="Subtitle"/>
    <w:basedOn w:val="Normal"/>
    <w:next w:val="Normal"/>
    <w:link w:val="SubtitleChar"/>
    <w:uiPriority w:val="11"/>
    <w:qFormat/>
    <w:rsid w:val="00C46927"/>
    <w:pPr>
      <w:numPr>
        <w:ilvl w:val="1"/>
      </w:numPr>
    </w:pPr>
    <w:rPr>
      <w:rFonts w:eastAsiaTheme="majorEastAsia" w:cstheme="majorBidi"/>
      <w:i/>
      <w:iCs/>
      <w:color w:val="3494BA" w:themeColor="accent1"/>
      <w:spacing w:val="15"/>
      <w:sz w:val="24"/>
      <w:szCs w:val="24"/>
    </w:rPr>
  </w:style>
  <w:style w:type="character" w:customStyle="1" w:styleId="SubtitleChar">
    <w:name w:val="Subtitle Char"/>
    <w:basedOn w:val="DefaultParagraphFont"/>
    <w:link w:val="Subtitle"/>
    <w:uiPriority w:val="11"/>
    <w:rsid w:val="00C46927"/>
    <w:rPr>
      <w:rFonts w:asciiTheme="majorHAnsi" w:eastAsiaTheme="majorEastAsia" w:hAnsiTheme="majorHAnsi" w:cstheme="majorBidi"/>
      <w:i/>
      <w:iCs/>
      <w:color w:val="3494BA" w:themeColor="accent1"/>
      <w:spacing w:val="15"/>
      <w:sz w:val="24"/>
      <w:szCs w:val="24"/>
    </w:rPr>
  </w:style>
  <w:style w:type="character" w:styleId="Strong">
    <w:name w:val="Strong"/>
    <w:basedOn w:val="DefaultParagraphFont"/>
    <w:uiPriority w:val="22"/>
    <w:qFormat/>
    <w:rsid w:val="00C46927"/>
    <w:rPr>
      <w:b/>
      <w:bCs/>
    </w:rPr>
  </w:style>
  <w:style w:type="character" w:styleId="Emphasis">
    <w:name w:val="Emphasis"/>
    <w:basedOn w:val="DefaultParagraphFont"/>
    <w:uiPriority w:val="20"/>
    <w:qFormat/>
    <w:rsid w:val="00C46927"/>
    <w:rPr>
      <w:i/>
      <w:iCs/>
    </w:rPr>
  </w:style>
  <w:style w:type="paragraph" w:styleId="NoSpacing">
    <w:name w:val="No Spacing"/>
    <w:uiPriority w:val="1"/>
    <w:qFormat/>
    <w:rsid w:val="00C46927"/>
    <w:pPr>
      <w:spacing w:after="0" w:line="240" w:lineRule="auto"/>
    </w:pPr>
  </w:style>
  <w:style w:type="paragraph" w:styleId="Quote">
    <w:name w:val="Quote"/>
    <w:basedOn w:val="Normal"/>
    <w:next w:val="Normal"/>
    <w:link w:val="QuoteChar"/>
    <w:uiPriority w:val="29"/>
    <w:qFormat/>
    <w:rsid w:val="00C46927"/>
    <w:rPr>
      <w:i/>
      <w:iCs/>
      <w:color w:val="000000" w:themeColor="text1"/>
    </w:rPr>
  </w:style>
  <w:style w:type="character" w:customStyle="1" w:styleId="QuoteChar">
    <w:name w:val="Quote Char"/>
    <w:basedOn w:val="DefaultParagraphFont"/>
    <w:link w:val="Quote"/>
    <w:uiPriority w:val="29"/>
    <w:rsid w:val="00C46927"/>
    <w:rPr>
      <w:i/>
      <w:iCs/>
      <w:color w:val="000000" w:themeColor="text1"/>
    </w:rPr>
  </w:style>
  <w:style w:type="paragraph" w:styleId="IntenseQuote">
    <w:name w:val="Intense Quote"/>
    <w:basedOn w:val="Normal"/>
    <w:next w:val="Normal"/>
    <w:link w:val="IntenseQuoteChar"/>
    <w:uiPriority w:val="30"/>
    <w:qFormat/>
    <w:rsid w:val="00C46927"/>
    <w:pPr>
      <w:pBdr>
        <w:bottom w:val="single" w:sz="4" w:space="4" w:color="3494BA" w:themeColor="accent1"/>
      </w:pBdr>
      <w:spacing w:before="200" w:after="280"/>
      <w:ind w:left="936" w:right="936"/>
    </w:pPr>
    <w:rPr>
      <w:b/>
      <w:bCs/>
      <w:i/>
      <w:iCs/>
      <w:color w:val="3494BA" w:themeColor="accent1"/>
    </w:rPr>
  </w:style>
  <w:style w:type="character" w:customStyle="1" w:styleId="IntenseQuoteChar">
    <w:name w:val="Intense Quote Char"/>
    <w:basedOn w:val="DefaultParagraphFont"/>
    <w:link w:val="IntenseQuote"/>
    <w:uiPriority w:val="30"/>
    <w:rsid w:val="00C46927"/>
    <w:rPr>
      <w:b/>
      <w:bCs/>
      <w:i/>
      <w:iCs/>
      <w:color w:val="3494BA" w:themeColor="accent1"/>
    </w:rPr>
  </w:style>
  <w:style w:type="character" w:styleId="SubtleEmphasis">
    <w:name w:val="Subtle Emphasis"/>
    <w:basedOn w:val="DefaultParagraphFont"/>
    <w:uiPriority w:val="19"/>
    <w:qFormat/>
    <w:rsid w:val="00C46927"/>
    <w:rPr>
      <w:i/>
      <w:iCs/>
      <w:color w:val="808080" w:themeColor="text1" w:themeTint="7F"/>
    </w:rPr>
  </w:style>
  <w:style w:type="character" w:styleId="IntenseEmphasis">
    <w:name w:val="Intense Emphasis"/>
    <w:basedOn w:val="DefaultParagraphFont"/>
    <w:uiPriority w:val="21"/>
    <w:qFormat/>
    <w:rsid w:val="00C46927"/>
    <w:rPr>
      <w:b/>
      <w:bCs/>
      <w:i/>
      <w:iCs/>
      <w:color w:val="3494BA" w:themeColor="accent1"/>
    </w:rPr>
  </w:style>
  <w:style w:type="character" w:styleId="SubtleReference">
    <w:name w:val="Subtle Reference"/>
    <w:basedOn w:val="DefaultParagraphFont"/>
    <w:uiPriority w:val="31"/>
    <w:qFormat/>
    <w:rsid w:val="006A0AF7"/>
    <w:rPr>
      <w:color w:val="C00000"/>
    </w:rPr>
  </w:style>
  <w:style w:type="character" w:styleId="IntenseReference">
    <w:name w:val="Intense Reference"/>
    <w:basedOn w:val="DefaultParagraphFont"/>
    <w:uiPriority w:val="32"/>
    <w:qFormat/>
    <w:rsid w:val="00C46927"/>
    <w:rPr>
      <w:b/>
      <w:bCs/>
      <w:smallCaps/>
      <w:color w:val="58B6C0" w:themeColor="accent2"/>
      <w:spacing w:val="5"/>
      <w:u w:val="single"/>
    </w:rPr>
  </w:style>
  <w:style w:type="character" w:styleId="BookTitle">
    <w:name w:val="Book Title"/>
    <w:basedOn w:val="DefaultParagraphFont"/>
    <w:uiPriority w:val="33"/>
    <w:qFormat/>
    <w:rsid w:val="00C46927"/>
    <w:rPr>
      <w:b/>
      <w:bCs/>
      <w:smallCaps/>
      <w:spacing w:val="5"/>
    </w:rPr>
  </w:style>
  <w:style w:type="paragraph" w:styleId="TOCHeading">
    <w:name w:val="TOC Heading"/>
    <w:basedOn w:val="Heading1"/>
    <w:next w:val="Normal"/>
    <w:uiPriority w:val="39"/>
    <w:semiHidden/>
    <w:unhideWhenUsed/>
    <w:qFormat/>
    <w:rsid w:val="00C46927"/>
    <w:pPr>
      <w:outlineLvl w:val="9"/>
    </w:pPr>
  </w:style>
  <w:style w:type="paragraph" w:customStyle="1" w:styleId="HD1">
    <w:name w:val="HD1"/>
    <w:basedOn w:val="Title"/>
    <w:qFormat/>
    <w:rsid w:val="0039243C"/>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39875">
      <w:bodyDiv w:val="1"/>
      <w:marLeft w:val="0"/>
      <w:marRight w:val="0"/>
      <w:marTop w:val="0"/>
      <w:marBottom w:val="0"/>
      <w:divBdr>
        <w:top w:val="none" w:sz="0" w:space="0" w:color="auto"/>
        <w:left w:val="none" w:sz="0" w:space="0" w:color="auto"/>
        <w:bottom w:val="none" w:sz="0" w:space="0" w:color="auto"/>
        <w:right w:val="none" w:sz="0" w:space="0" w:color="auto"/>
      </w:divBdr>
    </w:div>
    <w:div w:id="165310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LouLou</dc:creator>
  <cp:lastModifiedBy>Sharon Coleman</cp:lastModifiedBy>
  <cp:revision>8</cp:revision>
  <dcterms:created xsi:type="dcterms:W3CDTF">2017-11-07T03:43:00Z</dcterms:created>
  <dcterms:modified xsi:type="dcterms:W3CDTF">2018-05-11T00:54:00Z</dcterms:modified>
</cp:coreProperties>
</file>