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F104A" w14:textId="59E9534B" w:rsidR="00BD5D46" w:rsidRDefault="00CF14B6" w:rsidP="0039243C">
      <w:pPr>
        <w:rPr>
          <w:rStyle w:val="SubtleReference"/>
        </w:rPr>
      </w:pPr>
      <w:r>
        <w:rPr>
          <w:noProof/>
        </w:rPr>
        <mc:AlternateContent>
          <mc:Choice Requires="wps">
            <w:drawing>
              <wp:anchor distT="0" distB="0" distL="114300" distR="114300" simplePos="0" relativeHeight="251668480" behindDoc="0" locked="0" layoutInCell="1" allowOverlap="1" wp14:anchorId="672D426E" wp14:editId="224B8D94">
                <wp:simplePos x="0" y="0"/>
                <wp:positionH relativeFrom="column">
                  <wp:posOffset>2818611</wp:posOffset>
                </wp:positionH>
                <wp:positionV relativeFrom="paragraph">
                  <wp:posOffset>278041</wp:posOffset>
                </wp:positionV>
                <wp:extent cx="1007817" cy="315189"/>
                <wp:effectExtent l="0" t="209550" r="0" b="218440"/>
                <wp:wrapNone/>
                <wp:docPr id="1" name="Text Box 1"/>
                <wp:cNvGraphicFramePr/>
                <a:graphic xmlns:a="http://schemas.openxmlformats.org/drawingml/2006/main">
                  <a:graphicData uri="http://schemas.microsoft.com/office/word/2010/wordprocessingShape">
                    <wps:wsp>
                      <wps:cNvSpPr txBox="1"/>
                      <wps:spPr>
                        <a:xfrm rot="19598947">
                          <a:off x="0" y="0"/>
                          <a:ext cx="1007817" cy="315189"/>
                        </a:xfrm>
                        <a:prstGeom prst="rect">
                          <a:avLst/>
                        </a:prstGeom>
                        <a:noFill/>
                        <a:ln>
                          <a:noFill/>
                        </a:ln>
                      </wps:spPr>
                      <wps:txbx>
                        <w:txbxContent>
                          <w:p w14:paraId="336F1FF3" w14:textId="383368A7" w:rsidR="00CF14B6" w:rsidRPr="00CF14B6" w:rsidRDefault="00CF14B6" w:rsidP="00CF14B6">
                            <w:pPr>
                              <w:jc w:val="center"/>
                              <w:rPr>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CF14B6">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 of the</w:t>
                            </w:r>
                            <w:r w:rsidRPr="00CF14B6">
                              <w:rPr>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2D426E" id="_x0000_t202" coordsize="21600,21600" o:spt="202" path="m,l,21600r21600,l21600,xe">
                <v:stroke joinstyle="miter"/>
                <v:path gradientshapeok="t" o:connecttype="rect"/>
              </v:shapetype>
              <v:shape id="Text Box 1" o:spid="_x0000_s1026" type="#_x0000_t202" style="position:absolute;margin-left:221.95pt;margin-top:21.9pt;width:79.35pt;height:24.8pt;rotation:-2185683fd;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" filled="f" stroked="f">
                <v:fill o:detectmouseclick="t"/>
                <v:textbox>
                  <w:txbxContent>
                    <w:p w14:paraId="336F1FF3" w14:textId="383368A7" w:rsidR="00CF14B6" w:rsidRPr="00CF14B6" w:rsidRDefault="00CF14B6" w:rsidP="00CF14B6">
                      <w:pPr>
                        <w:jc w:val="center"/>
                        <w:rPr>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w:t>
                      </w:r>
                      <w:r w:rsidRPr="00CF14B6">
                        <w:rPr>
                          <w:rFonts w:ascii="Bradley Hand ITC" w:hAnsi="Bradley Hand ITC"/>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art of the</w:t>
                      </w:r>
                      <w:r w:rsidRPr="00CF14B6">
                        <w:rPr>
                          <w:noProof/>
                          <w:color w:val="134163" w:themeColor="accent6" w:themeShade="8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v:shape>
            </w:pict>
          </mc:Fallback>
        </mc:AlternateContent>
      </w:r>
      <w:r w:rsidR="00556EAD">
        <w:rPr>
          <w:noProof/>
          <w:lang w:eastAsia="en-AU"/>
        </w:rPr>
        <w:drawing>
          <wp:inline distT="0" distB="0" distL="0" distR="0" wp14:anchorId="7F41D9E3" wp14:editId="3095624B">
            <wp:extent cx="5641340" cy="1112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641340" cy="1112520"/>
                    </a:xfrm>
                    <a:prstGeom prst="rect">
                      <a:avLst/>
                    </a:prstGeom>
                  </pic:spPr>
                </pic:pic>
              </a:graphicData>
            </a:graphic>
          </wp:inline>
        </w:drawing>
      </w:r>
    </w:p>
    <w:p w14:paraId="5112DC50" w14:textId="7296F6C0" w:rsidR="00E34F44" w:rsidRDefault="00E34F44" w:rsidP="0039243C">
      <w:pPr>
        <w:rPr>
          <w:rStyle w:val="SubtleReference"/>
        </w:rPr>
      </w:pPr>
      <w:bookmarkStart w:id="0" w:name="_GoBack"/>
      <w:bookmarkEnd w:id="0"/>
    </w:p>
    <w:p w14:paraId="55602BF6" w14:textId="4C31280E" w:rsidR="00E34F44" w:rsidRPr="00556EAD" w:rsidRDefault="00E34F44" w:rsidP="00E34F44">
      <w:pPr>
        <w:pStyle w:val="Heading2"/>
        <w:rPr>
          <w:color w:val="134163" w:themeColor="accent6" w:themeShade="80"/>
        </w:rPr>
      </w:pPr>
      <w:r w:rsidRPr="00556EAD">
        <w:rPr>
          <w:color w:val="134163" w:themeColor="accent6" w:themeShade="80"/>
        </w:rPr>
        <w:t>Aged Care – What you ought to know</w:t>
      </w:r>
    </w:p>
    <w:p w14:paraId="58A6083E" w14:textId="5CAC6EA0" w:rsidR="00E34F44" w:rsidRDefault="00B747BA" w:rsidP="00C32CC1">
      <w:pPr>
        <w:jc w:val="both"/>
      </w:pPr>
      <w:r>
        <w:rPr>
          <w:noProof/>
          <w:color w:val="C00000"/>
          <w:lang w:eastAsia="en-AU"/>
        </w:rPr>
        <mc:AlternateContent>
          <mc:Choice Requires="wps">
            <w:drawing>
              <wp:anchor distT="0" distB="0" distL="114300" distR="114300" simplePos="0" relativeHeight="251666432" behindDoc="0" locked="0" layoutInCell="1" allowOverlap="1" wp14:anchorId="6CA3E358" wp14:editId="3FB3DEB6">
                <wp:simplePos x="0" y="0"/>
                <wp:positionH relativeFrom="column">
                  <wp:posOffset>-38735</wp:posOffset>
                </wp:positionH>
                <wp:positionV relativeFrom="paragraph">
                  <wp:posOffset>155575</wp:posOffset>
                </wp:positionV>
                <wp:extent cx="56007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5600700"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81B56D" id="Straight Connector 10"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05pt,12.25pt" to="437.9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" strokecolor="#496f8f [1614]"/>
            </w:pict>
          </mc:Fallback>
        </mc:AlternateContent>
      </w:r>
      <w:r w:rsidR="00E34F44">
        <w:rPr>
          <w:rStyle w:val="SubtleReference"/>
        </w:rPr>
        <w:br/>
      </w:r>
    </w:p>
    <w:p w14:paraId="677CCCA8" w14:textId="278E441F" w:rsidR="00A06234" w:rsidRPr="00201153" w:rsidRDefault="00A93B43" w:rsidP="00C32CC1">
      <w:pPr>
        <w:jc w:val="both"/>
        <w:rPr>
          <w:b/>
        </w:rPr>
      </w:pPr>
      <w:r w:rsidRPr="00201153">
        <w:rPr>
          <w:b/>
        </w:rPr>
        <w:t>Most</w:t>
      </w:r>
      <w:r w:rsidR="00A06234" w:rsidRPr="00201153">
        <w:rPr>
          <w:b/>
        </w:rPr>
        <w:t xml:space="preserve"> people </w:t>
      </w:r>
      <w:r w:rsidRPr="00201153">
        <w:rPr>
          <w:b/>
        </w:rPr>
        <w:t>want</w:t>
      </w:r>
      <w:r w:rsidR="00A06234" w:rsidRPr="00201153">
        <w:rPr>
          <w:b/>
        </w:rPr>
        <w:t xml:space="preserve"> to remain independent throughout retirement and to stay in control of where and how they live. But your ability to do so may depend on your health and physical well</w:t>
      </w:r>
      <w:r w:rsidR="002E0EF1" w:rsidRPr="00201153">
        <w:rPr>
          <w:b/>
        </w:rPr>
        <w:t>-</w:t>
      </w:r>
      <w:r w:rsidR="00A06234" w:rsidRPr="00201153">
        <w:rPr>
          <w:b/>
        </w:rPr>
        <w:t xml:space="preserve">being. As we age, some things become harder to do on our own.  </w:t>
      </w:r>
    </w:p>
    <w:p w14:paraId="39C4286A" w14:textId="77777777" w:rsidR="00AF1399" w:rsidRDefault="00A06234" w:rsidP="00C32CC1">
      <w:pPr>
        <w:jc w:val="both"/>
      </w:pPr>
      <w:r>
        <w:t>If your</w:t>
      </w:r>
      <w:r w:rsidRPr="00407516">
        <w:t xml:space="preserve"> ability to live independently </w:t>
      </w:r>
      <w:r>
        <w:t>starts to decline and you need help with</w:t>
      </w:r>
      <w:r w:rsidRPr="00407516">
        <w:t xml:space="preserve"> daily living activities such as cooki</w:t>
      </w:r>
      <w:r w:rsidR="00AF1399">
        <w:t xml:space="preserve">ng, cleaning and personal care, you may need to move into </w:t>
      </w:r>
      <w:r w:rsidR="00A060F5">
        <w:t xml:space="preserve">residential care. </w:t>
      </w:r>
    </w:p>
    <w:tbl>
      <w:tblPr>
        <w:tblStyle w:val="TableGrid"/>
        <w:tblW w:w="8699" w:type="dxa"/>
        <w:tblInd w:w="-3"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shd w:val="clear" w:color="auto" w:fill="CEDBE6" w:themeFill="background2"/>
        <w:tblLook w:val="04A0" w:firstRow="1" w:lastRow="0" w:firstColumn="1" w:lastColumn="0" w:noHBand="0" w:noVBand="1"/>
      </w:tblPr>
      <w:tblGrid>
        <w:gridCol w:w="8699"/>
      </w:tblGrid>
      <w:tr w:rsidR="00961CAA" w14:paraId="515AC110" w14:textId="77777777" w:rsidTr="00C32CC1">
        <w:trPr>
          <w:trHeight w:val="1555"/>
        </w:trPr>
        <w:tc>
          <w:tcPr>
            <w:tcW w:w="8699" w:type="dxa"/>
            <w:shd w:val="clear" w:color="auto" w:fill="D0E6F6" w:themeFill="accent6" w:themeFillTint="33"/>
          </w:tcPr>
          <w:p w14:paraId="354F4D1D" w14:textId="77777777" w:rsidR="006A0AF7" w:rsidRDefault="006A0AF7" w:rsidP="006A0AF7">
            <w:pPr>
              <w:ind w:right="249"/>
            </w:pPr>
          </w:p>
          <w:p w14:paraId="3E4E2CE0" w14:textId="77777777" w:rsidR="006A0AF7" w:rsidRDefault="006A0AF7" w:rsidP="006A0AF7">
            <w:pPr>
              <w:ind w:left="306" w:right="249"/>
            </w:pPr>
            <w:r w:rsidRPr="00720189">
              <w:rPr>
                <w:b/>
              </w:rPr>
              <w:t>Tip</w:t>
            </w:r>
            <w:r w:rsidRPr="00720189">
              <w:t xml:space="preserve">: </w:t>
            </w:r>
            <w:r>
              <w:t>Residential aged care</w:t>
            </w:r>
            <w:r w:rsidRPr="00407516">
              <w:t xml:space="preserve"> </w:t>
            </w:r>
            <w:r>
              <w:t>should</w:t>
            </w:r>
            <w:r w:rsidRPr="00407516">
              <w:t xml:space="preserve"> not be confused with retirement villages</w:t>
            </w:r>
            <w:r>
              <w:t xml:space="preserve"> which are independent living options and operate under very different fee structures</w:t>
            </w:r>
          </w:p>
          <w:p w14:paraId="581C50F6" w14:textId="77777777" w:rsidR="006A0AF7" w:rsidRDefault="006A0AF7" w:rsidP="006A0AF7"/>
        </w:tc>
      </w:tr>
    </w:tbl>
    <w:p w14:paraId="76D1D701" w14:textId="03EDDB38" w:rsidR="00DE2ED7" w:rsidRDefault="00A87688" w:rsidP="0039243C">
      <w:r w:rsidRPr="00A87688">
        <w:rPr>
          <w:rFonts w:eastAsiaTheme="majorEastAsia" w:cstheme="majorBidi"/>
          <w:bCs/>
          <w:color w:val="FFFFFF" w:themeColor="background1"/>
          <w:sz w:val="20"/>
          <w:szCs w:val="20"/>
        </w:rPr>
        <w:br/>
      </w:r>
      <w:r w:rsidR="00AF1399">
        <w:t>The costs</w:t>
      </w:r>
      <w:r w:rsidR="00DE2ED7">
        <w:t xml:space="preserve"> for </w:t>
      </w:r>
      <w:r w:rsidR="00AF1399">
        <w:t>residential</w:t>
      </w:r>
      <w:r w:rsidR="00DE2ED7">
        <w:t xml:space="preserve"> care are divided into three categories:</w:t>
      </w:r>
    </w:p>
    <w:p w14:paraId="6B3247B5" w14:textId="77777777" w:rsidR="00DE2ED7" w:rsidRDefault="00DE2ED7" w:rsidP="0039243C">
      <w:r>
        <w:rPr>
          <w:noProof/>
          <w:lang w:eastAsia="en-AU"/>
        </w:rPr>
        <w:drawing>
          <wp:inline distT="0" distB="0" distL="0" distR="0" wp14:anchorId="3C7017C9" wp14:editId="5B7E2FF9">
            <wp:extent cx="5563235" cy="408940"/>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F5DED2" w14:textId="6FBCC85E" w:rsidR="00DE2ED7" w:rsidRDefault="004261ED" w:rsidP="00C32CC1">
      <w:pPr>
        <w:jc w:val="both"/>
      </w:pPr>
      <w:r w:rsidRPr="005513F8">
        <w:t xml:space="preserve">The daily care </w:t>
      </w:r>
      <w:r w:rsidR="00AF1399" w:rsidRPr="005513F8">
        <w:t>fees</w:t>
      </w:r>
      <w:r w:rsidRPr="005513F8">
        <w:t xml:space="preserve"> can be up to $</w:t>
      </w:r>
      <w:r w:rsidR="002E1176" w:rsidRPr="005513F8">
        <w:t>10</w:t>
      </w:r>
      <w:r w:rsidR="005242F0" w:rsidRPr="005513F8">
        <w:t>7,</w:t>
      </w:r>
      <w:r w:rsidR="00F657DA">
        <w:t>690</w:t>
      </w:r>
      <w:r w:rsidR="005242F0" w:rsidRPr="005513F8">
        <w:t xml:space="preserve"> </w:t>
      </w:r>
      <w:r w:rsidRPr="005513F8">
        <w:t xml:space="preserve">per year, but a large portion is paid by the government. </w:t>
      </w:r>
      <w:r w:rsidR="00DE2ED7" w:rsidRPr="005513F8">
        <w:t>The contribution you would pay is between $</w:t>
      </w:r>
      <w:r w:rsidR="00F657DA">
        <w:t>18,038</w:t>
      </w:r>
      <w:r w:rsidR="00DE2ED7" w:rsidRPr="005513F8">
        <w:t xml:space="preserve"> and $</w:t>
      </w:r>
      <w:r w:rsidR="006E1CAF" w:rsidRPr="005513F8">
        <w:t>44</w:t>
      </w:r>
      <w:r w:rsidR="002E1176" w:rsidRPr="005513F8">
        <w:t>,</w:t>
      </w:r>
      <w:r w:rsidR="00F657DA">
        <w:t>605</w:t>
      </w:r>
      <w:r w:rsidR="00DE2ED7" w:rsidRPr="005513F8">
        <w:t xml:space="preserve"> depending on your financial means (as assessed by the Department of Human Services - DHS).</w:t>
      </w:r>
    </w:p>
    <w:p w14:paraId="2D71DFB4" w14:textId="4A855008" w:rsidR="00DE2ED7" w:rsidRDefault="00DE2ED7" w:rsidP="00C32CC1">
      <w:pPr>
        <w:jc w:val="both"/>
      </w:pPr>
      <w:r>
        <w:t xml:space="preserve">For most people however, the biggest concern is how to pay the large amounts quoted for </w:t>
      </w:r>
      <w:r w:rsidR="00AF1399">
        <w:t>a room</w:t>
      </w:r>
      <w:r>
        <w:t xml:space="preserve">. These range from around $100,000 to $2 million but </w:t>
      </w:r>
      <w:r w:rsidR="00AF1399">
        <w:t>will commonly be between</w:t>
      </w:r>
      <w:r w:rsidR="00C32CC1">
        <w:t xml:space="preserve"> </w:t>
      </w:r>
      <w:r>
        <w:t xml:space="preserve">$400,000 - $600,000. </w:t>
      </w:r>
      <w:r w:rsidR="00AF1399">
        <w:t>These</w:t>
      </w:r>
      <w:r>
        <w:t xml:space="preserve"> lump sum payment</w:t>
      </w:r>
      <w:r w:rsidR="00AF1399">
        <w:t xml:space="preserve">s are called </w:t>
      </w:r>
      <w:r>
        <w:t>Refundable Accommodation Deposit</w:t>
      </w:r>
      <w:r w:rsidR="00AF1399">
        <w:t>s</w:t>
      </w:r>
      <w:r>
        <w:t xml:space="preserve"> – RAD</w:t>
      </w:r>
      <w:r w:rsidR="00AF1399">
        <w:t>s</w:t>
      </w:r>
      <w:r>
        <w:t>.</w:t>
      </w:r>
    </w:p>
    <w:p w14:paraId="049FC5D4" w14:textId="77777777" w:rsidR="00DE2ED7" w:rsidRDefault="00DE2ED7" w:rsidP="00C32CC1">
      <w:pPr>
        <w:jc w:val="both"/>
      </w:pPr>
      <w:r>
        <w:t xml:space="preserve">Seeking </w:t>
      </w:r>
      <w:r w:rsidR="0038559E">
        <w:t xml:space="preserve">financial </w:t>
      </w:r>
      <w:r>
        <w:t xml:space="preserve">advice on what options you have for payment and </w:t>
      </w:r>
      <w:r w:rsidR="00033E9F">
        <w:t>funding strategies may</w:t>
      </w:r>
      <w:r>
        <w:t xml:space="preserve"> help to minimise </w:t>
      </w:r>
      <w:r w:rsidR="00033E9F">
        <w:t>your</w:t>
      </w:r>
      <w:r>
        <w:t xml:space="preserve"> stress. Let’s examine some of the facts around accommodation payments. </w:t>
      </w:r>
    </w:p>
    <w:p w14:paraId="56FFAAB7" w14:textId="77777777" w:rsidR="00A87688" w:rsidRDefault="00A87688" w:rsidP="00C32CC1">
      <w:pPr>
        <w:pStyle w:val="Heading3"/>
        <w:jc w:val="both"/>
      </w:pPr>
    </w:p>
    <w:p w14:paraId="36E82FA9" w14:textId="77777777" w:rsidR="00A87688" w:rsidRDefault="00A87688" w:rsidP="00C32CC1">
      <w:pPr>
        <w:pStyle w:val="Heading3"/>
        <w:jc w:val="both"/>
      </w:pPr>
    </w:p>
    <w:p w14:paraId="0074FA6F" w14:textId="77777777" w:rsidR="00DE2ED7" w:rsidRPr="00961CAA" w:rsidRDefault="00DE2ED7" w:rsidP="00C32CC1">
      <w:pPr>
        <w:pStyle w:val="Heading3"/>
        <w:jc w:val="both"/>
      </w:pPr>
      <w:r w:rsidRPr="00961CAA">
        <w:t>Fact 1 – this is not lost money</w:t>
      </w:r>
    </w:p>
    <w:p w14:paraId="22B83271" w14:textId="77777777" w:rsidR="00DE2ED7" w:rsidRDefault="00DE2ED7" w:rsidP="00C32CC1">
      <w:pPr>
        <w:jc w:val="both"/>
      </w:pPr>
      <w:r>
        <w:t xml:space="preserve">The first thing to know about RADs (paid since 1 July 2014) is that they are fully refundable </w:t>
      </w:r>
      <w:r w:rsidR="002E1176">
        <w:t>when you leave care,</w:t>
      </w:r>
      <w:r>
        <w:t xml:space="preserve"> unless you allow the service provide</w:t>
      </w:r>
      <w:r w:rsidR="0038559E">
        <w:t>r</w:t>
      </w:r>
      <w:r>
        <w:t xml:space="preserve"> to deduct other fees </w:t>
      </w:r>
      <w:r w:rsidR="0038559E">
        <w:t>t</w:t>
      </w:r>
      <w:r>
        <w:t>o help with your cashflow.</w:t>
      </w:r>
    </w:p>
    <w:p w14:paraId="0F73E2C9" w14:textId="77777777" w:rsidR="00DE2ED7" w:rsidRDefault="0038559E" w:rsidP="00C32CC1">
      <w:pPr>
        <w:jc w:val="both"/>
      </w:pPr>
      <w:r>
        <w:t>R</w:t>
      </w:r>
      <w:r w:rsidR="002E1176">
        <w:t xml:space="preserve">epayment is also guaranteed by the Federal Government if paid to an approved provider – an important thing to check when you are </w:t>
      </w:r>
      <w:r>
        <w:t>selecting a care provider</w:t>
      </w:r>
      <w:r w:rsidR="002E1176">
        <w:t xml:space="preserve">. </w:t>
      </w:r>
    </w:p>
    <w:p w14:paraId="45C88CDD" w14:textId="77777777" w:rsidR="00C755E5" w:rsidRDefault="00C755E5" w:rsidP="00C32CC1">
      <w:pPr>
        <w:jc w:val="both"/>
      </w:pPr>
    </w:p>
    <w:p w14:paraId="6BCFEDCE" w14:textId="77777777" w:rsidR="002E1176" w:rsidRPr="002E1176" w:rsidRDefault="002E1176" w:rsidP="00C32CC1">
      <w:pPr>
        <w:pStyle w:val="Heading3"/>
        <w:jc w:val="both"/>
      </w:pPr>
      <w:r w:rsidRPr="002E1176">
        <w:t>Fact 2 – you don’t have to pay the lump sum</w:t>
      </w:r>
    </w:p>
    <w:p w14:paraId="22E2E38C" w14:textId="0C3F6046" w:rsidR="002E1176" w:rsidRDefault="0038559E" w:rsidP="00C32CC1">
      <w:pPr>
        <w:jc w:val="both"/>
      </w:pPr>
      <w:r>
        <w:t>A</w:t>
      </w:r>
      <w:r w:rsidR="002E1176">
        <w:t xml:space="preserve">ccommodation payments are quoted as a lump sum but are also converted to an equivalent Daily Accommodation Payment (DAP). The interest rate used </w:t>
      </w:r>
      <w:r>
        <w:t>for</w:t>
      </w:r>
      <w:r w:rsidR="002E1176">
        <w:t xml:space="preserve"> this conversion is currently </w:t>
      </w:r>
      <w:r w:rsidR="00DC7982">
        <w:t>5.7</w:t>
      </w:r>
      <w:r w:rsidR="00A37191">
        <w:t>0</w:t>
      </w:r>
      <w:r w:rsidR="002E1176">
        <w:t>%</w:t>
      </w:r>
      <w:r w:rsidR="009A0116">
        <w:t xml:space="preserve"> (for entry to </w:t>
      </w:r>
      <w:r w:rsidR="005413D3">
        <w:t>3</w:t>
      </w:r>
      <w:r w:rsidR="00A37191">
        <w:t>1</w:t>
      </w:r>
      <w:r w:rsidR="005413D3">
        <w:t xml:space="preserve"> </w:t>
      </w:r>
      <w:r w:rsidR="00A37191">
        <w:t>December</w:t>
      </w:r>
      <w:r w:rsidR="009A0116">
        <w:t xml:space="preserve"> 201</w:t>
      </w:r>
      <w:r w:rsidR="00DC7982">
        <w:t>7</w:t>
      </w:r>
      <w:r w:rsidR="009A0116">
        <w:t>)</w:t>
      </w:r>
      <w:r w:rsidR="002E1176">
        <w:t>.</w:t>
      </w:r>
    </w:p>
    <w:p w14:paraId="75403CB6" w14:textId="292B6051" w:rsidR="002E1176" w:rsidRDefault="0038559E" w:rsidP="00C32CC1">
      <w:pPr>
        <w:jc w:val="both"/>
      </w:pPr>
      <w:r>
        <w:t>F</w:t>
      </w:r>
      <w:r w:rsidR="002E1176">
        <w:t xml:space="preserve">or example, a RAD of $400,000 is converted to a </w:t>
      </w:r>
      <w:r>
        <w:t>DAP</w:t>
      </w:r>
      <w:r w:rsidR="002E1176">
        <w:t xml:space="preserve"> of </w:t>
      </w:r>
      <w:r w:rsidR="009B3663">
        <w:t>$</w:t>
      </w:r>
      <w:r w:rsidR="00DC7982">
        <w:t>6</w:t>
      </w:r>
      <w:r w:rsidR="005413D3">
        <w:t>2.</w:t>
      </w:r>
      <w:r w:rsidR="00A37191">
        <w:t>47</w:t>
      </w:r>
      <w:r w:rsidR="009B3663">
        <w:t xml:space="preserve"> per day.</w:t>
      </w:r>
    </w:p>
    <w:p w14:paraId="3C65FD91" w14:textId="59645E30" w:rsidR="009B3663" w:rsidRDefault="009B3663" w:rsidP="00C32CC1">
      <w:pPr>
        <w:jc w:val="both"/>
      </w:pPr>
      <w:r>
        <w:t>If you accept a place in a residential service, you can choose whether to pay the full RAD, the full DAP or any combination of the two. You don’t need to make this choice until 28 days after moving into care and the service is not able to pressu</w:t>
      </w:r>
      <w:r w:rsidR="002E0EF1">
        <w:t xml:space="preserve">re you to choose any particular </w:t>
      </w:r>
      <w:r>
        <w:t>option.</w:t>
      </w:r>
    </w:p>
    <w:p w14:paraId="79FEF9F8" w14:textId="77777777" w:rsidR="00C755E5" w:rsidRDefault="00C755E5" w:rsidP="00C32CC1">
      <w:pPr>
        <w:jc w:val="both"/>
      </w:pPr>
    </w:p>
    <w:p w14:paraId="2FBD696F" w14:textId="77777777" w:rsidR="009B3663" w:rsidRPr="00961CAA" w:rsidRDefault="009B3663" w:rsidP="00C32CC1">
      <w:pPr>
        <w:pStyle w:val="Heading3"/>
        <w:jc w:val="both"/>
      </w:pPr>
      <w:r w:rsidRPr="00961CAA">
        <w:t>Fact 3 – even if you have less assets than the published RAD it may be affordable</w:t>
      </w:r>
    </w:p>
    <w:p w14:paraId="1082A54A" w14:textId="102520E3" w:rsidR="009B3663" w:rsidRDefault="009925D8" w:rsidP="00C32CC1">
      <w:pPr>
        <w:jc w:val="both"/>
      </w:pPr>
      <w:r>
        <w:t>If you don’t have enough assets to pay the RAD the first step may be to see if you qualify for government concessions as a low-means resident – this would require your share of assessable assets to be less than $</w:t>
      </w:r>
      <w:r w:rsidR="00A37191">
        <w:t>162,815</w:t>
      </w:r>
      <w:r>
        <w:t>.</w:t>
      </w:r>
      <w:r w:rsidR="00A37191">
        <w:t>20.</w:t>
      </w:r>
    </w:p>
    <w:p w14:paraId="7F0BB2D0" w14:textId="77777777" w:rsidR="009925D8" w:rsidRDefault="009925D8" w:rsidP="00C32CC1">
      <w:pPr>
        <w:jc w:val="both"/>
      </w:pPr>
      <w:r>
        <w:t xml:space="preserve">If you </w:t>
      </w:r>
      <w:r w:rsidR="0038559E">
        <w:t>don’t qualify</w:t>
      </w:r>
      <w:r>
        <w:t xml:space="preserve"> you will need to find a way to fund the full accommodation payment requested by the service. If you don’</w:t>
      </w:r>
      <w:r w:rsidR="0038559E">
        <w:t xml:space="preserve">t have enough assets, paying </w:t>
      </w:r>
      <w:r>
        <w:t>a part RAD and part DAP may help, but only if you have surplus cashflow to pay the DAP.</w:t>
      </w:r>
    </w:p>
    <w:p w14:paraId="7ED7D8D5" w14:textId="77777777" w:rsidR="009925D8" w:rsidRDefault="009925D8" w:rsidP="00C32CC1">
      <w:pPr>
        <w:jc w:val="both"/>
      </w:pPr>
      <w:r>
        <w:t xml:space="preserve">One further strategy option is to pay as much of the RAD as you can afford and then instruct the service provider to take the DAP (on the unpaid amount) out of the RAD you have paid. </w:t>
      </w:r>
    </w:p>
    <w:p w14:paraId="39A66C93" w14:textId="77777777" w:rsidR="009925D8" w:rsidRDefault="009925D8" w:rsidP="00C32CC1">
      <w:pPr>
        <w:jc w:val="both"/>
      </w:pPr>
      <w:r>
        <w:t xml:space="preserve">This option </w:t>
      </w:r>
      <w:r w:rsidR="00453FE2">
        <w:t>leaves</w:t>
      </w:r>
      <w:r>
        <w:t xml:space="preserve"> your income to meet daily care fees and living expenses but reduce</w:t>
      </w:r>
      <w:r w:rsidR="0038559E">
        <w:t>s</w:t>
      </w:r>
      <w:r>
        <w:t xml:space="preserve"> the RAD </w:t>
      </w:r>
      <w:r w:rsidR="0038559E">
        <w:t>refunded</w:t>
      </w:r>
      <w:r>
        <w:t xml:space="preserve"> when you leave. </w:t>
      </w:r>
      <w:r w:rsidR="00453FE2">
        <w:t>This can</w:t>
      </w:r>
      <w:r>
        <w:t xml:space="preserve"> help you fund the accommodation payment to access the care you need. </w:t>
      </w:r>
    </w:p>
    <w:p w14:paraId="7EAB9E0B" w14:textId="77777777" w:rsidR="00BD5D46" w:rsidRDefault="00BD5D46" w:rsidP="0039243C">
      <w:pPr>
        <w:sectPr w:rsidR="00BD5D46" w:rsidSect="00A87688">
          <w:pgSz w:w="11906" w:h="16838"/>
          <w:pgMar w:top="0" w:right="1440" w:bottom="1129" w:left="1582" w:header="708" w:footer="708" w:gutter="0"/>
          <w:cols w:space="708"/>
          <w:docGrid w:linePitch="360"/>
        </w:sectPr>
      </w:pPr>
    </w:p>
    <w:p w14:paraId="59B31412" w14:textId="15D3F005" w:rsidR="00A87688" w:rsidRDefault="00A87688" w:rsidP="0039243C"/>
    <w:p w14:paraId="0E211019" w14:textId="77777777" w:rsidR="00C755E5" w:rsidRDefault="00C755E5" w:rsidP="0039243C"/>
    <w:tbl>
      <w:tblPr>
        <w:tblStyle w:val="TableGrid"/>
        <w:tblW w:w="8468" w:type="dxa"/>
        <w:tblInd w:w="-42"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E6F6" w:themeFill="accent6" w:themeFillTint="33"/>
        <w:tblLook w:val="04A0" w:firstRow="1" w:lastRow="0" w:firstColumn="1" w:lastColumn="0" w:noHBand="0" w:noVBand="1"/>
      </w:tblPr>
      <w:tblGrid>
        <w:gridCol w:w="8468"/>
      </w:tblGrid>
      <w:tr w:rsidR="00961CAA" w14:paraId="60ECDEF1" w14:textId="77777777" w:rsidTr="00C32CC1">
        <w:tc>
          <w:tcPr>
            <w:tcW w:w="8468" w:type="dxa"/>
            <w:shd w:val="clear" w:color="auto" w:fill="D0E6F6" w:themeFill="accent6" w:themeFillTint="33"/>
          </w:tcPr>
          <w:p w14:paraId="40A00D5B" w14:textId="77777777" w:rsidR="00961CAA" w:rsidRDefault="00961CAA" w:rsidP="00961CAA">
            <w:pPr>
              <w:ind w:left="366" w:right="240"/>
              <w:rPr>
                <w:b/>
              </w:rPr>
            </w:pPr>
          </w:p>
          <w:p w14:paraId="572D409C" w14:textId="77777777" w:rsidR="00961CAA" w:rsidRPr="00556BC3" w:rsidRDefault="00961CAA" w:rsidP="00961CAA">
            <w:pPr>
              <w:ind w:left="507" w:right="382"/>
              <w:rPr>
                <w:b/>
              </w:rPr>
            </w:pPr>
            <w:r w:rsidRPr="00556BC3">
              <w:rPr>
                <w:b/>
              </w:rPr>
              <w:t>Example</w:t>
            </w:r>
          </w:p>
          <w:p w14:paraId="7E1497BB" w14:textId="0C1B5475" w:rsidR="00961CAA" w:rsidRDefault="00961CAA" w:rsidP="00961CAA">
            <w:pPr>
              <w:ind w:left="507" w:right="382"/>
            </w:pPr>
            <w:r>
              <w:t>Bert is moving into residential care. He is a widower on the full age pension with a home worth $420,000 and $20,000 in the bank. The service he and his family have chosen is asking for a RAD of $530,000 (or $8</w:t>
            </w:r>
            <w:r w:rsidR="001A698D">
              <w:t>2.77</w:t>
            </w:r>
            <w:r>
              <w:t xml:space="preserve"> per day).</w:t>
            </w:r>
          </w:p>
          <w:p w14:paraId="770DD2D2" w14:textId="77777777" w:rsidR="00961CAA" w:rsidRDefault="00961CAA" w:rsidP="00961CAA">
            <w:pPr>
              <w:ind w:left="507" w:right="382"/>
            </w:pPr>
          </w:p>
          <w:p w14:paraId="685DC616" w14:textId="77777777" w:rsidR="00961CAA" w:rsidRDefault="00961CAA" w:rsidP="00961CAA">
            <w:pPr>
              <w:ind w:left="507" w:right="382"/>
            </w:pPr>
            <w:r>
              <w:t>Bert is worried that he cannot afford a place in this service without asking his children for help. He sought advice on his options and decided to take the advice to:</w:t>
            </w:r>
          </w:p>
          <w:p w14:paraId="7085274F" w14:textId="77777777" w:rsidR="00961CAA" w:rsidRDefault="00961CAA" w:rsidP="00961CAA">
            <w:pPr>
              <w:pStyle w:val="ListParagraph"/>
              <w:numPr>
                <w:ilvl w:val="0"/>
                <w:numId w:val="14"/>
              </w:numPr>
              <w:ind w:right="382"/>
            </w:pPr>
            <w:r>
              <w:t xml:space="preserve">Sell his home </w:t>
            </w:r>
          </w:p>
          <w:p w14:paraId="3F42026D" w14:textId="3A460D17" w:rsidR="00961CAA" w:rsidRDefault="00961CAA" w:rsidP="00961CAA">
            <w:pPr>
              <w:pStyle w:val="ListParagraph"/>
              <w:numPr>
                <w:ilvl w:val="0"/>
                <w:numId w:val="14"/>
              </w:numPr>
              <w:ind w:right="382"/>
            </w:pPr>
            <w:r>
              <w:t>Use the net sale proceeds to pay a $400,000 RAD, leaving a DAP of $20.</w:t>
            </w:r>
            <w:r w:rsidR="001A698D">
              <w:t>30</w:t>
            </w:r>
            <w:r>
              <w:t xml:space="preserve"> per day on the remaining $130,000</w:t>
            </w:r>
          </w:p>
          <w:p w14:paraId="6263EBD5" w14:textId="77777777" w:rsidR="00961CAA" w:rsidRDefault="00961CAA" w:rsidP="00961CAA">
            <w:pPr>
              <w:pStyle w:val="ListParagraph"/>
              <w:numPr>
                <w:ilvl w:val="0"/>
                <w:numId w:val="14"/>
              </w:numPr>
              <w:ind w:right="382"/>
            </w:pPr>
            <w:r>
              <w:t xml:space="preserve">Instruct the service provider to deduct the DAP each month from his RAD </w:t>
            </w:r>
          </w:p>
          <w:p w14:paraId="2E5B3B39" w14:textId="77777777" w:rsidR="00961CAA" w:rsidRDefault="00961CAA" w:rsidP="00961CAA">
            <w:pPr>
              <w:ind w:left="507" w:right="382"/>
            </w:pPr>
          </w:p>
          <w:p w14:paraId="7CFBC24F" w14:textId="7A37718C" w:rsidR="00961CAA" w:rsidRPr="0038559E" w:rsidRDefault="00961CAA" w:rsidP="00961CAA">
            <w:pPr>
              <w:ind w:left="507" w:right="382"/>
            </w:pPr>
            <w:r w:rsidRPr="009826F5">
              <w:t>This leaves his $23,</w:t>
            </w:r>
            <w:r w:rsidR="001A698D">
              <w:t>254</w:t>
            </w:r>
            <w:r w:rsidRPr="009826F5">
              <w:t xml:space="preserve"> age pension to cover his daily care fees of </w:t>
            </w:r>
            <w:r w:rsidRPr="00E77422">
              <w:t>$2</w:t>
            </w:r>
            <w:r w:rsidR="001A698D">
              <w:t>8,293</w:t>
            </w:r>
            <w:r w:rsidRPr="00E77422">
              <w:t xml:space="preserve"> </w:t>
            </w:r>
            <w:r w:rsidRPr="009826F5">
              <w:t>per year</w:t>
            </w:r>
            <w:r>
              <w:t xml:space="preserve"> (this includes the basic daily fee, means-tested care fee and the DAP)</w:t>
            </w:r>
            <w:r w:rsidRPr="009826F5">
              <w:t xml:space="preserve"> plus some personal expenses. Bert is financially self-sufficient and keeps a $20,000 cash reserve to meet other expenses.</w:t>
            </w:r>
          </w:p>
          <w:p w14:paraId="615A5146" w14:textId="77777777" w:rsidR="00961CAA" w:rsidRDefault="00961CAA" w:rsidP="0039243C"/>
        </w:tc>
      </w:tr>
    </w:tbl>
    <w:p w14:paraId="7A31AEB2" w14:textId="77777777" w:rsidR="009925D8" w:rsidRDefault="009925D8" w:rsidP="0039243C"/>
    <w:p w14:paraId="0111C979" w14:textId="77777777" w:rsidR="009A0116" w:rsidRDefault="009A0116" w:rsidP="0039243C">
      <w:pPr>
        <w:rPr>
          <w:highlight w:val="yellow"/>
        </w:rPr>
      </w:pPr>
    </w:p>
    <w:sectPr w:rsidR="009A0116" w:rsidSect="00A87688">
      <w:footerReference w:type="default" r:id="rId13"/>
      <w:pgSz w:w="11906" w:h="16838"/>
      <w:pgMar w:top="0" w:right="1440" w:bottom="1129" w:left="158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986B5" w14:textId="77777777" w:rsidR="00512006" w:rsidRDefault="00512006" w:rsidP="0039243C">
      <w:r>
        <w:separator/>
      </w:r>
    </w:p>
  </w:endnote>
  <w:endnote w:type="continuationSeparator" w:id="0">
    <w:p w14:paraId="17AF3B9E" w14:textId="77777777" w:rsidR="00512006" w:rsidRDefault="00512006" w:rsidP="0039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20678" w14:textId="77777777" w:rsidR="00BD5D46" w:rsidRPr="00BD5D46" w:rsidRDefault="00BD5D46" w:rsidP="00BD5D46">
    <w:pPr>
      <w:spacing w:after="0" w:line="240" w:lineRule="auto"/>
      <w:jc w:val="both"/>
      <w:rPr>
        <w:b/>
        <w:i/>
        <w:color w:val="000000" w:themeColor="text1"/>
        <w:sz w:val="20"/>
        <w:szCs w:val="20"/>
      </w:rPr>
    </w:pPr>
    <w:r w:rsidRPr="00BD5D46">
      <w:rPr>
        <w:b/>
        <w:i/>
        <w:color w:val="000000" w:themeColor="text1"/>
        <w:sz w:val="20"/>
        <w:szCs w:val="20"/>
      </w:rPr>
      <w:t>Disclaimer</w:t>
    </w:r>
    <w:r w:rsidRPr="00BD5D46">
      <w:rPr>
        <w:i/>
        <w:color w:val="000000" w:themeColor="text1"/>
        <w:sz w:val="20"/>
        <w:szCs w:val="20"/>
      </w:rPr>
      <w:t>: The information in this article is general and does not take into account your particular circumstances. We recommend specific tax or legal advice be sought before any action is taken and refer to the relevant Product Disclosure Statement before investing in any product. Rates current to 19 September 2017.</w:t>
    </w:r>
  </w:p>
  <w:p w14:paraId="0B4F1D23" w14:textId="77777777" w:rsidR="00BD5D46" w:rsidRPr="00BD5D46" w:rsidRDefault="00BD5D46" w:rsidP="00BD5D46">
    <w:pPr>
      <w:spacing w:after="0" w:line="240" w:lineRule="auto"/>
      <w:jc w:val="both"/>
      <w:rPr>
        <w:b/>
        <w:i/>
        <w:color w:val="000000" w:themeColor="text1"/>
        <w:sz w:val="20"/>
        <w:szCs w:val="20"/>
      </w:rPr>
    </w:pPr>
    <w:r w:rsidRPr="00BD5D46">
      <w:rPr>
        <w:b/>
        <w:i/>
        <w:color w:val="000000" w:themeColor="text1"/>
        <w:sz w:val="20"/>
        <w:szCs w:val="20"/>
      </w:rPr>
      <w:t>Incorporating:</w:t>
    </w:r>
  </w:p>
  <w:p w14:paraId="751D7EA2" w14:textId="77777777" w:rsidR="00BD5D46" w:rsidRPr="00BD5D46" w:rsidRDefault="00BD5D46" w:rsidP="00BD5D46">
    <w:pPr>
      <w:spacing w:after="0" w:line="240" w:lineRule="auto"/>
      <w:jc w:val="both"/>
      <w:rPr>
        <w:i/>
        <w:color w:val="000000" w:themeColor="text1"/>
        <w:sz w:val="20"/>
        <w:szCs w:val="20"/>
      </w:rPr>
    </w:pPr>
    <w:r w:rsidRPr="00BD5D46">
      <w:rPr>
        <w:i/>
        <w:color w:val="000000" w:themeColor="text1"/>
        <w:sz w:val="20"/>
        <w:szCs w:val="20"/>
      </w:rPr>
      <w:t>Poole &amp; Partners Pty Ltd ABN 63 010 478 181; Poole &amp; Partners Investment Services Pty Ltd AFSL 280 232 / ABN 24 093 450 394; Aged Care Services Qld Pty Ltd ABN 81 609 413 792</w:t>
    </w:r>
  </w:p>
  <w:p w14:paraId="5EC91907" w14:textId="77777777" w:rsidR="00BD5D46" w:rsidRDefault="00BD5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DC775E" w14:textId="77777777" w:rsidR="00512006" w:rsidRDefault="00512006" w:rsidP="0039243C">
      <w:r>
        <w:separator/>
      </w:r>
    </w:p>
  </w:footnote>
  <w:footnote w:type="continuationSeparator" w:id="0">
    <w:p w14:paraId="4C1675D2" w14:textId="77777777" w:rsidR="00512006" w:rsidRDefault="00512006" w:rsidP="003924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D623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38775C"/>
    <w:multiLevelType w:val="hybridMultilevel"/>
    <w:tmpl w:val="B6E26D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2FF750C"/>
    <w:multiLevelType w:val="hybridMultilevel"/>
    <w:tmpl w:val="5F104EF8"/>
    <w:lvl w:ilvl="0" w:tplc="04090001">
      <w:start w:val="1"/>
      <w:numFmt w:val="bullet"/>
      <w:lvlText w:val=""/>
      <w:lvlJc w:val="left"/>
      <w:pPr>
        <w:ind w:left="1086" w:hanging="360"/>
      </w:pPr>
      <w:rPr>
        <w:rFonts w:ascii="Symbol" w:hAnsi="Symbol" w:hint="default"/>
      </w:rPr>
    </w:lvl>
    <w:lvl w:ilvl="1" w:tplc="04090003" w:tentative="1">
      <w:start w:val="1"/>
      <w:numFmt w:val="bullet"/>
      <w:lvlText w:val="o"/>
      <w:lvlJc w:val="left"/>
      <w:pPr>
        <w:ind w:left="1806" w:hanging="360"/>
      </w:pPr>
      <w:rPr>
        <w:rFonts w:ascii="Courier New" w:hAnsi="Courier New" w:cs="Courier New" w:hint="default"/>
      </w:rPr>
    </w:lvl>
    <w:lvl w:ilvl="2" w:tplc="04090005" w:tentative="1">
      <w:start w:val="1"/>
      <w:numFmt w:val="bullet"/>
      <w:lvlText w:val=""/>
      <w:lvlJc w:val="left"/>
      <w:pPr>
        <w:ind w:left="2526" w:hanging="360"/>
      </w:pPr>
      <w:rPr>
        <w:rFonts w:ascii="Wingdings" w:hAnsi="Wingdings" w:hint="default"/>
      </w:rPr>
    </w:lvl>
    <w:lvl w:ilvl="3" w:tplc="04090001" w:tentative="1">
      <w:start w:val="1"/>
      <w:numFmt w:val="bullet"/>
      <w:lvlText w:val=""/>
      <w:lvlJc w:val="left"/>
      <w:pPr>
        <w:ind w:left="3246" w:hanging="360"/>
      </w:pPr>
      <w:rPr>
        <w:rFonts w:ascii="Symbol" w:hAnsi="Symbol" w:hint="default"/>
      </w:rPr>
    </w:lvl>
    <w:lvl w:ilvl="4" w:tplc="04090003" w:tentative="1">
      <w:start w:val="1"/>
      <w:numFmt w:val="bullet"/>
      <w:lvlText w:val="o"/>
      <w:lvlJc w:val="left"/>
      <w:pPr>
        <w:ind w:left="3966" w:hanging="360"/>
      </w:pPr>
      <w:rPr>
        <w:rFonts w:ascii="Courier New" w:hAnsi="Courier New" w:cs="Courier New" w:hint="default"/>
      </w:rPr>
    </w:lvl>
    <w:lvl w:ilvl="5" w:tplc="04090005" w:tentative="1">
      <w:start w:val="1"/>
      <w:numFmt w:val="bullet"/>
      <w:lvlText w:val=""/>
      <w:lvlJc w:val="left"/>
      <w:pPr>
        <w:ind w:left="4686" w:hanging="360"/>
      </w:pPr>
      <w:rPr>
        <w:rFonts w:ascii="Wingdings" w:hAnsi="Wingdings" w:hint="default"/>
      </w:rPr>
    </w:lvl>
    <w:lvl w:ilvl="6" w:tplc="04090001" w:tentative="1">
      <w:start w:val="1"/>
      <w:numFmt w:val="bullet"/>
      <w:lvlText w:val=""/>
      <w:lvlJc w:val="left"/>
      <w:pPr>
        <w:ind w:left="5406" w:hanging="360"/>
      </w:pPr>
      <w:rPr>
        <w:rFonts w:ascii="Symbol" w:hAnsi="Symbol" w:hint="default"/>
      </w:rPr>
    </w:lvl>
    <w:lvl w:ilvl="7" w:tplc="04090003" w:tentative="1">
      <w:start w:val="1"/>
      <w:numFmt w:val="bullet"/>
      <w:lvlText w:val="o"/>
      <w:lvlJc w:val="left"/>
      <w:pPr>
        <w:ind w:left="6126" w:hanging="360"/>
      </w:pPr>
      <w:rPr>
        <w:rFonts w:ascii="Courier New" w:hAnsi="Courier New" w:cs="Courier New" w:hint="default"/>
      </w:rPr>
    </w:lvl>
    <w:lvl w:ilvl="8" w:tplc="04090005" w:tentative="1">
      <w:start w:val="1"/>
      <w:numFmt w:val="bullet"/>
      <w:lvlText w:val=""/>
      <w:lvlJc w:val="left"/>
      <w:pPr>
        <w:ind w:left="6846" w:hanging="360"/>
      </w:pPr>
      <w:rPr>
        <w:rFonts w:ascii="Wingdings" w:hAnsi="Wingdings" w:hint="default"/>
      </w:rPr>
    </w:lvl>
  </w:abstractNum>
  <w:abstractNum w:abstractNumId="3" w15:restartNumberingAfterBreak="0">
    <w:nsid w:val="1B9A117F"/>
    <w:multiLevelType w:val="hybridMultilevel"/>
    <w:tmpl w:val="E5245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15B454F"/>
    <w:multiLevelType w:val="hybridMultilevel"/>
    <w:tmpl w:val="F4CE11CA"/>
    <w:lvl w:ilvl="0" w:tplc="FFFFFFFF">
      <w:start w:val="1"/>
      <w:numFmt w:val="bullet"/>
      <w:lvlText w:val=""/>
      <w:lvlJc w:val="left"/>
      <w:pPr>
        <w:tabs>
          <w:tab w:val="num" w:pos="714"/>
        </w:tabs>
        <w:ind w:left="714" w:hanging="357"/>
      </w:pPr>
      <w:rPr>
        <w:rFonts w:ascii="Symbol" w:hAnsi="Symbol" w:hint="default"/>
      </w:rPr>
    </w:lvl>
    <w:lvl w:ilvl="1" w:tplc="FFFFFFFF" w:tentative="1">
      <w:start w:val="1"/>
      <w:numFmt w:val="bullet"/>
      <w:lvlText w:val="o"/>
      <w:lvlJc w:val="left"/>
      <w:pPr>
        <w:tabs>
          <w:tab w:val="num" w:pos="717"/>
        </w:tabs>
        <w:ind w:left="717" w:hanging="360"/>
      </w:pPr>
      <w:rPr>
        <w:rFonts w:ascii="Courier New" w:hAnsi="Courier New" w:cs="MS Mincho" w:hint="default"/>
      </w:rPr>
    </w:lvl>
    <w:lvl w:ilvl="2" w:tplc="FFFFFFFF" w:tentative="1">
      <w:start w:val="1"/>
      <w:numFmt w:val="bullet"/>
      <w:lvlText w:val=""/>
      <w:lvlJc w:val="left"/>
      <w:pPr>
        <w:tabs>
          <w:tab w:val="num" w:pos="1437"/>
        </w:tabs>
        <w:ind w:left="1437" w:hanging="360"/>
      </w:pPr>
      <w:rPr>
        <w:rFonts w:ascii="Wingdings" w:hAnsi="Wingdings" w:hint="default"/>
      </w:rPr>
    </w:lvl>
    <w:lvl w:ilvl="3" w:tplc="FFFFFFFF" w:tentative="1">
      <w:start w:val="1"/>
      <w:numFmt w:val="bullet"/>
      <w:lvlText w:val=""/>
      <w:lvlJc w:val="left"/>
      <w:pPr>
        <w:tabs>
          <w:tab w:val="num" w:pos="2157"/>
        </w:tabs>
        <w:ind w:left="2157" w:hanging="360"/>
      </w:pPr>
      <w:rPr>
        <w:rFonts w:ascii="Symbol" w:hAnsi="Symbol" w:hint="default"/>
      </w:rPr>
    </w:lvl>
    <w:lvl w:ilvl="4" w:tplc="FFFFFFFF" w:tentative="1">
      <w:start w:val="1"/>
      <w:numFmt w:val="bullet"/>
      <w:lvlText w:val="o"/>
      <w:lvlJc w:val="left"/>
      <w:pPr>
        <w:tabs>
          <w:tab w:val="num" w:pos="2877"/>
        </w:tabs>
        <w:ind w:left="2877" w:hanging="360"/>
      </w:pPr>
      <w:rPr>
        <w:rFonts w:ascii="Courier New" w:hAnsi="Courier New" w:cs="MS Mincho" w:hint="default"/>
      </w:rPr>
    </w:lvl>
    <w:lvl w:ilvl="5" w:tplc="FFFFFFFF" w:tentative="1">
      <w:start w:val="1"/>
      <w:numFmt w:val="bullet"/>
      <w:lvlText w:val=""/>
      <w:lvlJc w:val="left"/>
      <w:pPr>
        <w:tabs>
          <w:tab w:val="num" w:pos="3597"/>
        </w:tabs>
        <w:ind w:left="3597" w:hanging="360"/>
      </w:pPr>
      <w:rPr>
        <w:rFonts w:ascii="Wingdings" w:hAnsi="Wingdings" w:hint="default"/>
      </w:rPr>
    </w:lvl>
    <w:lvl w:ilvl="6" w:tplc="FFFFFFFF" w:tentative="1">
      <w:start w:val="1"/>
      <w:numFmt w:val="bullet"/>
      <w:lvlText w:val=""/>
      <w:lvlJc w:val="left"/>
      <w:pPr>
        <w:tabs>
          <w:tab w:val="num" w:pos="4317"/>
        </w:tabs>
        <w:ind w:left="4317" w:hanging="360"/>
      </w:pPr>
      <w:rPr>
        <w:rFonts w:ascii="Symbol" w:hAnsi="Symbol" w:hint="default"/>
      </w:rPr>
    </w:lvl>
    <w:lvl w:ilvl="7" w:tplc="FFFFFFFF" w:tentative="1">
      <w:start w:val="1"/>
      <w:numFmt w:val="bullet"/>
      <w:lvlText w:val="o"/>
      <w:lvlJc w:val="left"/>
      <w:pPr>
        <w:tabs>
          <w:tab w:val="num" w:pos="5037"/>
        </w:tabs>
        <w:ind w:left="5037" w:hanging="360"/>
      </w:pPr>
      <w:rPr>
        <w:rFonts w:ascii="Courier New" w:hAnsi="Courier New" w:cs="MS Mincho" w:hint="default"/>
      </w:rPr>
    </w:lvl>
    <w:lvl w:ilvl="8" w:tplc="FFFFFFFF" w:tentative="1">
      <w:start w:val="1"/>
      <w:numFmt w:val="bullet"/>
      <w:lvlText w:val=""/>
      <w:lvlJc w:val="left"/>
      <w:pPr>
        <w:tabs>
          <w:tab w:val="num" w:pos="5757"/>
        </w:tabs>
        <w:ind w:left="5757" w:hanging="360"/>
      </w:pPr>
      <w:rPr>
        <w:rFonts w:ascii="Wingdings" w:hAnsi="Wingdings" w:hint="default"/>
      </w:rPr>
    </w:lvl>
  </w:abstractNum>
  <w:abstractNum w:abstractNumId="5" w15:restartNumberingAfterBreak="0">
    <w:nsid w:val="2D456A33"/>
    <w:multiLevelType w:val="hybridMultilevel"/>
    <w:tmpl w:val="020C0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41C3789"/>
    <w:multiLevelType w:val="hybridMultilevel"/>
    <w:tmpl w:val="709EEE30"/>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7" w15:restartNumberingAfterBreak="0">
    <w:nsid w:val="5F050481"/>
    <w:multiLevelType w:val="hybridMultilevel"/>
    <w:tmpl w:val="18864F9A"/>
    <w:lvl w:ilvl="0" w:tplc="FFFFFFFF">
      <w:start w:val="1"/>
      <w:numFmt w:val="bullet"/>
      <w:lvlText w:val=""/>
      <w:lvlJc w:val="left"/>
      <w:pPr>
        <w:tabs>
          <w:tab w:val="num" w:pos="714"/>
        </w:tabs>
        <w:ind w:left="714" w:hanging="357"/>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MS Mincho"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MS Mincho"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MS Mincho"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8" w15:restartNumberingAfterBreak="0">
    <w:nsid w:val="5FD95A19"/>
    <w:multiLevelType w:val="hybridMultilevel"/>
    <w:tmpl w:val="77569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B64225F"/>
    <w:multiLevelType w:val="hybridMultilevel"/>
    <w:tmpl w:val="BA607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273A78"/>
    <w:multiLevelType w:val="hybridMultilevel"/>
    <w:tmpl w:val="AA809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7623CC3"/>
    <w:multiLevelType w:val="hybridMultilevel"/>
    <w:tmpl w:val="84C880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B665ABB"/>
    <w:multiLevelType w:val="hybridMultilevel"/>
    <w:tmpl w:val="16225EDA"/>
    <w:lvl w:ilvl="0" w:tplc="FFFFFFFF">
      <w:start w:val="1"/>
      <w:numFmt w:val="bullet"/>
      <w:lvlText w:val=""/>
      <w:lvlJc w:val="left"/>
      <w:pPr>
        <w:tabs>
          <w:tab w:val="num" w:pos="714"/>
        </w:tabs>
        <w:ind w:left="714" w:hanging="35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3"/>
  </w:num>
  <w:num w:numId="4">
    <w:abstractNumId w:val="7"/>
  </w:num>
  <w:num w:numId="5">
    <w:abstractNumId w:val="4"/>
  </w:num>
  <w:num w:numId="6">
    <w:abstractNumId w:val="10"/>
  </w:num>
  <w:num w:numId="7">
    <w:abstractNumId w:val="1"/>
  </w:num>
  <w:num w:numId="8">
    <w:abstractNumId w:val="12"/>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1"/>
  </w:num>
  <w:num w:numId="12">
    <w:abstractNumId w:val="0"/>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6234"/>
    <w:rsid w:val="00022352"/>
    <w:rsid w:val="00033E9F"/>
    <w:rsid w:val="00065DF4"/>
    <w:rsid w:val="00065FE7"/>
    <w:rsid w:val="000C7FBA"/>
    <w:rsid w:val="00140143"/>
    <w:rsid w:val="00143F06"/>
    <w:rsid w:val="0015432B"/>
    <w:rsid w:val="001865AC"/>
    <w:rsid w:val="001A698D"/>
    <w:rsid w:val="00201153"/>
    <w:rsid w:val="00244779"/>
    <w:rsid w:val="0029413F"/>
    <w:rsid w:val="002A30F6"/>
    <w:rsid w:val="002E0EF1"/>
    <w:rsid w:val="002E1176"/>
    <w:rsid w:val="00315884"/>
    <w:rsid w:val="0038559E"/>
    <w:rsid w:val="0039243C"/>
    <w:rsid w:val="00395407"/>
    <w:rsid w:val="003A09FD"/>
    <w:rsid w:val="003D3C62"/>
    <w:rsid w:val="004261ED"/>
    <w:rsid w:val="00430252"/>
    <w:rsid w:val="00453FE2"/>
    <w:rsid w:val="004A6488"/>
    <w:rsid w:val="004B19A9"/>
    <w:rsid w:val="004E40A5"/>
    <w:rsid w:val="00512006"/>
    <w:rsid w:val="0051274C"/>
    <w:rsid w:val="005242F0"/>
    <w:rsid w:val="00526671"/>
    <w:rsid w:val="0054082B"/>
    <w:rsid w:val="005413D3"/>
    <w:rsid w:val="005513F8"/>
    <w:rsid w:val="00556BC3"/>
    <w:rsid w:val="00556EAD"/>
    <w:rsid w:val="00646231"/>
    <w:rsid w:val="00656D04"/>
    <w:rsid w:val="00662DB6"/>
    <w:rsid w:val="006A0AF7"/>
    <w:rsid w:val="006D2FFC"/>
    <w:rsid w:val="006D7D6C"/>
    <w:rsid w:val="006E1CAF"/>
    <w:rsid w:val="00720189"/>
    <w:rsid w:val="007971AA"/>
    <w:rsid w:val="007C11BD"/>
    <w:rsid w:val="008926D4"/>
    <w:rsid w:val="00897632"/>
    <w:rsid w:val="00943A44"/>
    <w:rsid w:val="00961CAA"/>
    <w:rsid w:val="009646F4"/>
    <w:rsid w:val="009826F5"/>
    <w:rsid w:val="00987C7F"/>
    <w:rsid w:val="009925D8"/>
    <w:rsid w:val="009A0116"/>
    <w:rsid w:val="009B3663"/>
    <w:rsid w:val="009C5E50"/>
    <w:rsid w:val="009D4315"/>
    <w:rsid w:val="00A060F5"/>
    <w:rsid w:val="00A06234"/>
    <w:rsid w:val="00A36D37"/>
    <w:rsid w:val="00A37191"/>
    <w:rsid w:val="00A87688"/>
    <w:rsid w:val="00A93B43"/>
    <w:rsid w:val="00A93FEC"/>
    <w:rsid w:val="00AA38B9"/>
    <w:rsid w:val="00AF1399"/>
    <w:rsid w:val="00B15859"/>
    <w:rsid w:val="00B66F6D"/>
    <w:rsid w:val="00B747BA"/>
    <w:rsid w:val="00B91026"/>
    <w:rsid w:val="00B956BE"/>
    <w:rsid w:val="00B97531"/>
    <w:rsid w:val="00BB57DC"/>
    <w:rsid w:val="00BC71B1"/>
    <w:rsid w:val="00BD0903"/>
    <w:rsid w:val="00BD5D46"/>
    <w:rsid w:val="00C31EB3"/>
    <w:rsid w:val="00C32CC1"/>
    <w:rsid w:val="00C46927"/>
    <w:rsid w:val="00C61E83"/>
    <w:rsid w:val="00C71569"/>
    <w:rsid w:val="00C755E5"/>
    <w:rsid w:val="00CC7D4D"/>
    <w:rsid w:val="00CE1757"/>
    <w:rsid w:val="00CF14B6"/>
    <w:rsid w:val="00D110B1"/>
    <w:rsid w:val="00DA58B9"/>
    <w:rsid w:val="00DC7982"/>
    <w:rsid w:val="00DE2ED7"/>
    <w:rsid w:val="00DE770B"/>
    <w:rsid w:val="00DF3E68"/>
    <w:rsid w:val="00E348E8"/>
    <w:rsid w:val="00E34F44"/>
    <w:rsid w:val="00E55F1C"/>
    <w:rsid w:val="00E77422"/>
    <w:rsid w:val="00E8550F"/>
    <w:rsid w:val="00F657DA"/>
    <w:rsid w:val="00F84B8D"/>
    <w:rsid w:val="00FA3293"/>
    <w:rsid w:val="00FC4A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9D10D"/>
  <w15:docId w15:val="{DF1B58C7-A8A3-44D3-B5EE-23C755413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43C"/>
    <w:pPr>
      <w:spacing w:line="360" w:lineRule="auto"/>
    </w:pPr>
    <w:rPr>
      <w:rFonts w:asciiTheme="majorHAnsi" w:hAnsiTheme="majorHAnsi" w:cs="Arial"/>
    </w:rPr>
  </w:style>
  <w:style w:type="paragraph" w:styleId="Heading1">
    <w:name w:val="heading 1"/>
    <w:basedOn w:val="Normal"/>
    <w:next w:val="Normal"/>
    <w:link w:val="Heading1Char"/>
    <w:uiPriority w:val="9"/>
    <w:qFormat/>
    <w:rsid w:val="003A09FD"/>
    <w:pPr>
      <w:keepNext/>
      <w:keepLines/>
      <w:spacing w:before="480" w:after="0"/>
      <w:outlineLvl w:val="0"/>
    </w:pPr>
    <w:rPr>
      <w:rFonts w:eastAsiaTheme="majorEastAsia" w:cstheme="majorBidi"/>
      <w:bCs/>
      <w:color w:val="4A7090" w:themeColor="background2" w:themeShade="80"/>
      <w:spacing w:val="-8"/>
      <w:sz w:val="56"/>
      <w:szCs w:val="56"/>
    </w:rPr>
  </w:style>
  <w:style w:type="paragraph" w:styleId="Heading2">
    <w:name w:val="heading 2"/>
    <w:basedOn w:val="Normal"/>
    <w:next w:val="Normal"/>
    <w:link w:val="Heading2Char"/>
    <w:uiPriority w:val="9"/>
    <w:unhideWhenUsed/>
    <w:qFormat/>
    <w:rsid w:val="00244779"/>
    <w:pPr>
      <w:keepNext/>
      <w:keepLines/>
      <w:spacing w:before="200" w:after="0" w:line="240" w:lineRule="auto"/>
      <w:outlineLvl w:val="1"/>
    </w:pPr>
    <w:rPr>
      <w:rFonts w:eastAsiaTheme="majorEastAsia" w:cstheme="majorBidi"/>
      <w:bCs/>
      <w:color w:val="FFFFFF" w:themeColor="background1"/>
      <w:sz w:val="44"/>
      <w:szCs w:val="44"/>
    </w:rPr>
  </w:style>
  <w:style w:type="paragraph" w:styleId="Heading3">
    <w:name w:val="heading 3"/>
    <w:basedOn w:val="Subtitle"/>
    <w:next w:val="Normal"/>
    <w:link w:val="Heading3Char"/>
    <w:uiPriority w:val="9"/>
    <w:unhideWhenUsed/>
    <w:qFormat/>
    <w:rsid w:val="00961CAA"/>
    <w:pPr>
      <w:outlineLvl w:val="2"/>
    </w:pPr>
    <w:rPr>
      <w:b/>
      <w:i w:val="0"/>
      <w:color w:val="000000" w:themeColor="text1"/>
      <w:spacing w:val="0"/>
      <w:sz w:val="28"/>
      <w:szCs w:val="28"/>
    </w:rPr>
  </w:style>
  <w:style w:type="paragraph" w:styleId="Heading4">
    <w:name w:val="heading 4"/>
    <w:basedOn w:val="Normal"/>
    <w:next w:val="Normal"/>
    <w:link w:val="Heading4Char"/>
    <w:uiPriority w:val="9"/>
    <w:unhideWhenUsed/>
    <w:qFormat/>
    <w:rsid w:val="00244779"/>
    <w:pPr>
      <w:keepNext/>
      <w:keepLines/>
      <w:spacing w:before="200" w:after="0"/>
      <w:outlineLvl w:val="3"/>
    </w:pPr>
    <w:rPr>
      <w:rFonts w:eastAsiaTheme="majorEastAsia" w:cstheme="majorBidi"/>
      <w:bCs/>
      <w:iCs/>
      <w:color w:val="3494BA" w:themeColor="accent1"/>
      <w:sz w:val="28"/>
      <w:szCs w:val="28"/>
    </w:rPr>
  </w:style>
  <w:style w:type="paragraph" w:styleId="Heading5">
    <w:name w:val="heading 5"/>
    <w:basedOn w:val="Normal"/>
    <w:next w:val="Normal"/>
    <w:link w:val="Heading5Char"/>
    <w:uiPriority w:val="9"/>
    <w:semiHidden/>
    <w:unhideWhenUsed/>
    <w:qFormat/>
    <w:rsid w:val="00C46927"/>
    <w:pPr>
      <w:keepNext/>
      <w:keepLines/>
      <w:spacing w:before="200" w:after="0"/>
      <w:outlineLvl w:val="4"/>
    </w:pPr>
    <w:rPr>
      <w:rFonts w:eastAsiaTheme="majorEastAsia" w:cstheme="majorBidi"/>
      <w:color w:val="1A495C" w:themeColor="accent1" w:themeShade="7F"/>
    </w:rPr>
  </w:style>
  <w:style w:type="paragraph" w:styleId="Heading6">
    <w:name w:val="heading 6"/>
    <w:basedOn w:val="Normal"/>
    <w:next w:val="Normal"/>
    <w:link w:val="Heading6Char"/>
    <w:uiPriority w:val="9"/>
    <w:semiHidden/>
    <w:unhideWhenUsed/>
    <w:qFormat/>
    <w:rsid w:val="00C46927"/>
    <w:pPr>
      <w:keepNext/>
      <w:keepLines/>
      <w:spacing w:before="200" w:after="0"/>
      <w:outlineLvl w:val="5"/>
    </w:pPr>
    <w:rPr>
      <w:rFonts w:eastAsiaTheme="majorEastAsia" w:cstheme="majorBidi"/>
      <w:i/>
      <w:iCs/>
      <w:color w:val="1A495C" w:themeColor="accent1" w:themeShade="7F"/>
    </w:rPr>
  </w:style>
  <w:style w:type="paragraph" w:styleId="Heading7">
    <w:name w:val="heading 7"/>
    <w:basedOn w:val="Normal"/>
    <w:next w:val="Normal"/>
    <w:link w:val="Heading7Char"/>
    <w:uiPriority w:val="9"/>
    <w:semiHidden/>
    <w:unhideWhenUsed/>
    <w:qFormat/>
    <w:rsid w:val="00C46927"/>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C46927"/>
    <w:pPr>
      <w:keepNext/>
      <w:keepLines/>
      <w:spacing w:before="200" w:after="0"/>
      <w:outlineLvl w:val="7"/>
    </w:pPr>
    <w:rPr>
      <w:rFonts w:eastAsiaTheme="majorEastAsia" w:cstheme="majorBidi"/>
      <w:color w:val="3494BA" w:themeColor="accent1"/>
      <w:sz w:val="20"/>
      <w:szCs w:val="20"/>
    </w:rPr>
  </w:style>
  <w:style w:type="paragraph" w:styleId="Heading9">
    <w:name w:val="heading 9"/>
    <w:basedOn w:val="Normal"/>
    <w:next w:val="Normal"/>
    <w:link w:val="Heading9Char"/>
    <w:uiPriority w:val="9"/>
    <w:semiHidden/>
    <w:unhideWhenUsed/>
    <w:qFormat/>
    <w:rsid w:val="00C46927"/>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4779"/>
    <w:rPr>
      <w:rFonts w:asciiTheme="majorHAnsi" w:eastAsiaTheme="majorEastAsia" w:hAnsiTheme="majorHAnsi" w:cstheme="majorBidi"/>
      <w:bCs/>
      <w:color w:val="FFFFFF" w:themeColor="background1"/>
      <w:sz w:val="44"/>
      <w:szCs w:val="44"/>
    </w:rPr>
  </w:style>
  <w:style w:type="paragraph" w:styleId="ListParagraph">
    <w:name w:val="List Paragraph"/>
    <w:basedOn w:val="Normal"/>
    <w:uiPriority w:val="34"/>
    <w:qFormat/>
    <w:rsid w:val="00C46927"/>
    <w:pPr>
      <w:ind w:left="720"/>
      <w:contextualSpacing/>
    </w:pPr>
  </w:style>
  <w:style w:type="table" w:styleId="TableGrid">
    <w:name w:val="Table Grid"/>
    <w:basedOn w:val="TableNormal"/>
    <w:uiPriority w:val="59"/>
    <w:rsid w:val="00A06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65AC"/>
    <w:rPr>
      <w:color w:val="60143E"/>
      <w:u w:val="single"/>
    </w:rPr>
  </w:style>
  <w:style w:type="paragraph" w:customStyle="1" w:styleId="summary">
    <w:name w:val="summary"/>
    <w:basedOn w:val="Normal"/>
    <w:rsid w:val="00A0623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06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234"/>
    <w:rPr>
      <w:rFonts w:ascii="Tahoma" w:hAnsi="Tahoma" w:cs="Tahoma"/>
      <w:sz w:val="16"/>
      <w:szCs w:val="16"/>
    </w:rPr>
  </w:style>
  <w:style w:type="paragraph" w:styleId="NormalWeb">
    <w:name w:val="Normal (Web)"/>
    <w:basedOn w:val="Normal"/>
    <w:uiPriority w:val="99"/>
    <w:semiHidden/>
    <w:unhideWhenUsed/>
    <w:rsid w:val="00C31EB3"/>
    <w:pPr>
      <w:spacing w:before="100" w:beforeAutospacing="1" w:after="100" w:afterAutospacing="1" w:line="240" w:lineRule="auto"/>
    </w:pPr>
    <w:rPr>
      <w:rFonts w:ascii="Times New Roman" w:hAnsi="Times New Roman" w:cs="Times New Roman"/>
      <w:sz w:val="24"/>
      <w:szCs w:val="24"/>
      <w:lang w:eastAsia="en-AU"/>
    </w:rPr>
  </w:style>
  <w:style w:type="paragraph" w:styleId="Header">
    <w:name w:val="header"/>
    <w:basedOn w:val="Normal"/>
    <w:link w:val="HeaderChar"/>
    <w:uiPriority w:val="99"/>
    <w:unhideWhenUsed/>
    <w:rsid w:val="003158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884"/>
  </w:style>
  <w:style w:type="paragraph" w:styleId="Footer">
    <w:name w:val="footer"/>
    <w:basedOn w:val="Normal"/>
    <w:link w:val="FooterChar"/>
    <w:uiPriority w:val="99"/>
    <w:unhideWhenUsed/>
    <w:rsid w:val="003158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884"/>
  </w:style>
  <w:style w:type="paragraph" w:styleId="Title">
    <w:name w:val="Title"/>
    <w:basedOn w:val="Normal"/>
    <w:next w:val="Normal"/>
    <w:link w:val="TitleChar"/>
    <w:uiPriority w:val="10"/>
    <w:qFormat/>
    <w:rsid w:val="00C46927"/>
    <w:pPr>
      <w:pBdr>
        <w:bottom w:val="single" w:sz="8" w:space="4" w:color="3494BA" w:themeColor="accent1"/>
      </w:pBdr>
      <w:spacing w:after="300" w:line="240" w:lineRule="auto"/>
      <w:contextualSpacing/>
    </w:pPr>
    <w:rPr>
      <w:rFonts w:eastAsiaTheme="majorEastAsia" w:cstheme="majorBidi"/>
      <w:color w:val="292733" w:themeColor="text2" w:themeShade="BF"/>
      <w:spacing w:val="5"/>
      <w:kern w:val="28"/>
      <w:sz w:val="52"/>
      <w:szCs w:val="52"/>
    </w:rPr>
  </w:style>
  <w:style w:type="character" w:customStyle="1" w:styleId="TitleChar">
    <w:name w:val="Title Char"/>
    <w:basedOn w:val="DefaultParagraphFont"/>
    <w:link w:val="Title"/>
    <w:uiPriority w:val="10"/>
    <w:rsid w:val="00C46927"/>
    <w:rPr>
      <w:rFonts w:asciiTheme="majorHAnsi" w:eastAsiaTheme="majorEastAsia" w:hAnsiTheme="majorHAnsi" w:cstheme="majorBidi"/>
      <w:color w:val="292733" w:themeColor="text2" w:themeShade="BF"/>
      <w:spacing w:val="5"/>
      <w:kern w:val="28"/>
      <w:sz w:val="52"/>
      <w:szCs w:val="52"/>
    </w:rPr>
  </w:style>
  <w:style w:type="character" w:customStyle="1" w:styleId="Heading1Char">
    <w:name w:val="Heading 1 Char"/>
    <w:basedOn w:val="DefaultParagraphFont"/>
    <w:link w:val="Heading1"/>
    <w:uiPriority w:val="9"/>
    <w:rsid w:val="003A09FD"/>
    <w:rPr>
      <w:rFonts w:asciiTheme="majorHAnsi" w:eastAsiaTheme="majorEastAsia" w:hAnsiTheme="majorHAnsi" w:cstheme="majorBidi"/>
      <w:bCs/>
      <w:color w:val="4A7090" w:themeColor="background2" w:themeShade="80"/>
      <w:spacing w:val="-8"/>
      <w:sz w:val="56"/>
      <w:szCs w:val="56"/>
    </w:rPr>
  </w:style>
  <w:style w:type="character" w:customStyle="1" w:styleId="Heading3Char">
    <w:name w:val="Heading 3 Char"/>
    <w:basedOn w:val="DefaultParagraphFont"/>
    <w:link w:val="Heading3"/>
    <w:uiPriority w:val="9"/>
    <w:rsid w:val="00961CAA"/>
    <w:rPr>
      <w:rFonts w:asciiTheme="majorHAnsi" w:eastAsiaTheme="majorEastAsia" w:hAnsiTheme="majorHAnsi" w:cstheme="majorBidi"/>
      <w:b/>
      <w:iCs/>
      <w:color w:val="000000" w:themeColor="text1"/>
      <w:sz w:val="28"/>
      <w:szCs w:val="28"/>
    </w:rPr>
  </w:style>
  <w:style w:type="character" w:customStyle="1" w:styleId="Heading4Char">
    <w:name w:val="Heading 4 Char"/>
    <w:basedOn w:val="DefaultParagraphFont"/>
    <w:link w:val="Heading4"/>
    <w:uiPriority w:val="9"/>
    <w:rsid w:val="00244779"/>
    <w:rPr>
      <w:rFonts w:asciiTheme="majorHAnsi" w:eastAsiaTheme="majorEastAsia" w:hAnsiTheme="majorHAnsi" w:cstheme="majorBidi"/>
      <w:bCs/>
      <w:iCs/>
      <w:color w:val="3494BA" w:themeColor="accent1"/>
      <w:sz w:val="28"/>
      <w:szCs w:val="28"/>
    </w:rPr>
  </w:style>
  <w:style w:type="character" w:customStyle="1" w:styleId="Heading5Char">
    <w:name w:val="Heading 5 Char"/>
    <w:basedOn w:val="DefaultParagraphFont"/>
    <w:link w:val="Heading5"/>
    <w:uiPriority w:val="9"/>
    <w:semiHidden/>
    <w:rsid w:val="00C46927"/>
    <w:rPr>
      <w:rFonts w:asciiTheme="majorHAnsi" w:eastAsiaTheme="majorEastAsia" w:hAnsiTheme="majorHAnsi" w:cstheme="majorBidi"/>
      <w:color w:val="1A495C" w:themeColor="accent1" w:themeShade="7F"/>
    </w:rPr>
  </w:style>
  <w:style w:type="character" w:customStyle="1" w:styleId="Heading6Char">
    <w:name w:val="Heading 6 Char"/>
    <w:basedOn w:val="DefaultParagraphFont"/>
    <w:link w:val="Heading6"/>
    <w:uiPriority w:val="9"/>
    <w:semiHidden/>
    <w:rsid w:val="00C46927"/>
    <w:rPr>
      <w:rFonts w:asciiTheme="majorHAnsi" w:eastAsiaTheme="majorEastAsia" w:hAnsiTheme="majorHAnsi" w:cstheme="majorBidi"/>
      <w:i/>
      <w:iCs/>
      <w:color w:val="1A495C" w:themeColor="accent1" w:themeShade="7F"/>
    </w:rPr>
  </w:style>
  <w:style w:type="character" w:customStyle="1" w:styleId="Heading7Char">
    <w:name w:val="Heading 7 Char"/>
    <w:basedOn w:val="DefaultParagraphFont"/>
    <w:link w:val="Heading7"/>
    <w:uiPriority w:val="9"/>
    <w:semiHidden/>
    <w:rsid w:val="00C469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6927"/>
    <w:rPr>
      <w:rFonts w:asciiTheme="majorHAnsi" w:eastAsiaTheme="majorEastAsia" w:hAnsiTheme="majorHAnsi" w:cstheme="majorBidi"/>
      <w:color w:val="3494BA" w:themeColor="accent1"/>
      <w:sz w:val="20"/>
      <w:szCs w:val="20"/>
    </w:rPr>
  </w:style>
  <w:style w:type="character" w:customStyle="1" w:styleId="Heading9Char">
    <w:name w:val="Heading 9 Char"/>
    <w:basedOn w:val="DefaultParagraphFont"/>
    <w:link w:val="Heading9"/>
    <w:uiPriority w:val="9"/>
    <w:semiHidden/>
    <w:rsid w:val="00C4692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46927"/>
    <w:pPr>
      <w:spacing w:line="240" w:lineRule="auto"/>
    </w:pPr>
    <w:rPr>
      <w:b/>
      <w:bCs/>
      <w:color w:val="3494BA" w:themeColor="accent1"/>
      <w:sz w:val="18"/>
      <w:szCs w:val="18"/>
    </w:rPr>
  </w:style>
  <w:style w:type="paragraph" w:styleId="Subtitle">
    <w:name w:val="Subtitle"/>
    <w:basedOn w:val="Normal"/>
    <w:next w:val="Normal"/>
    <w:link w:val="SubtitleChar"/>
    <w:uiPriority w:val="11"/>
    <w:qFormat/>
    <w:rsid w:val="00C46927"/>
    <w:pPr>
      <w:numPr>
        <w:ilvl w:val="1"/>
      </w:numPr>
    </w:pPr>
    <w:rPr>
      <w:rFonts w:eastAsiaTheme="majorEastAsia" w:cstheme="majorBidi"/>
      <w:i/>
      <w:iCs/>
      <w:color w:val="3494BA" w:themeColor="accent1"/>
      <w:spacing w:val="15"/>
      <w:sz w:val="24"/>
      <w:szCs w:val="24"/>
    </w:rPr>
  </w:style>
  <w:style w:type="character" w:customStyle="1" w:styleId="SubtitleChar">
    <w:name w:val="Subtitle Char"/>
    <w:basedOn w:val="DefaultParagraphFont"/>
    <w:link w:val="Subtitle"/>
    <w:uiPriority w:val="11"/>
    <w:rsid w:val="00C46927"/>
    <w:rPr>
      <w:rFonts w:asciiTheme="majorHAnsi" w:eastAsiaTheme="majorEastAsia" w:hAnsiTheme="majorHAnsi" w:cstheme="majorBidi"/>
      <w:i/>
      <w:iCs/>
      <w:color w:val="3494BA" w:themeColor="accent1"/>
      <w:spacing w:val="15"/>
      <w:sz w:val="24"/>
      <w:szCs w:val="24"/>
    </w:rPr>
  </w:style>
  <w:style w:type="character" w:styleId="Strong">
    <w:name w:val="Strong"/>
    <w:basedOn w:val="DefaultParagraphFont"/>
    <w:uiPriority w:val="22"/>
    <w:qFormat/>
    <w:rsid w:val="00C46927"/>
    <w:rPr>
      <w:b/>
      <w:bCs/>
    </w:rPr>
  </w:style>
  <w:style w:type="character" w:styleId="Emphasis">
    <w:name w:val="Emphasis"/>
    <w:basedOn w:val="DefaultParagraphFont"/>
    <w:uiPriority w:val="20"/>
    <w:qFormat/>
    <w:rsid w:val="00C46927"/>
    <w:rPr>
      <w:i/>
      <w:iCs/>
    </w:rPr>
  </w:style>
  <w:style w:type="paragraph" w:styleId="NoSpacing">
    <w:name w:val="No Spacing"/>
    <w:uiPriority w:val="1"/>
    <w:qFormat/>
    <w:rsid w:val="00C46927"/>
    <w:pPr>
      <w:spacing w:after="0" w:line="240" w:lineRule="auto"/>
    </w:pPr>
  </w:style>
  <w:style w:type="paragraph" w:styleId="Quote">
    <w:name w:val="Quote"/>
    <w:basedOn w:val="Normal"/>
    <w:next w:val="Normal"/>
    <w:link w:val="QuoteChar"/>
    <w:uiPriority w:val="29"/>
    <w:qFormat/>
    <w:rsid w:val="00C46927"/>
    <w:rPr>
      <w:i/>
      <w:iCs/>
      <w:color w:val="000000" w:themeColor="text1"/>
    </w:rPr>
  </w:style>
  <w:style w:type="character" w:customStyle="1" w:styleId="QuoteChar">
    <w:name w:val="Quote Char"/>
    <w:basedOn w:val="DefaultParagraphFont"/>
    <w:link w:val="Quote"/>
    <w:uiPriority w:val="29"/>
    <w:rsid w:val="00C46927"/>
    <w:rPr>
      <w:i/>
      <w:iCs/>
      <w:color w:val="000000" w:themeColor="text1"/>
    </w:rPr>
  </w:style>
  <w:style w:type="paragraph" w:styleId="IntenseQuote">
    <w:name w:val="Intense Quote"/>
    <w:basedOn w:val="Normal"/>
    <w:next w:val="Normal"/>
    <w:link w:val="IntenseQuoteChar"/>
    <w:uiPriority w:val="30"/>
    <w:qFormat/>
    <w:rsid w:val="00C46927"/>
    <w:pPr>
      <w:pBdr>
        <w:bottom w:val="single" w:sz="4" w:space="4" w:color="3494BA" w:themeColor="accent1"/>
      </w:pBdr>
      <w:spacing w:before="200" w:after="280"/>
      <w:ind w:left="936" w:right="936"/>
    </w:pPr>
    <w:rPr>
      <w:b/>
      <w:bCs/>
      <w:i/>
      <w:iCs/>
      <w:color w:val="3494BA" w:themeColor="accent1"/>
    </w:rPr>
  </w:style>
  <w:style w:type="character" w:customStyle="1" w:styleId="IntenseQuoteChar">
    <w:name w:val="Intense Quote Char"/>
    <w:basedOn w:val="DefaultParagraphFont"/>
    <w:link w:val="IntenseQuote"/>
    <w:uiPriority w:val="30"/>
    <w:rsid w:val="00C46927"/>
    <w:rPr>
      <w:b/>
      <w:bCs/>
      <w:i/>
      <w:iCs/>
      <w:color w:val="3494BA" w:themeColor="accent1"/>
    </w:rPr>
  </w:style>
  <w:style w:type="character" w:styleId="SubtleEmphasis">
    <w:name w:val="Subtle Emphasis"/>
    <w:basedOn w:val="DefaultParagraphFont"/>
    <w:uiPriority w:val="19"/>
    <w:qFormat/>
    <w:rsid w:val="00C46927"/>
    <w:rPr>
      <w:i/>
      <w:iCs/>
      <w:color w:val="808080" w:themeColor="text1" w:themeTint="7F"/>
    </w:rPr>
  </w:style>
  <w:style w:type="character" w:styleId="IntenseEmphasis">
    <w:name w:val="Intense Emphasis"/>
    <w:basedOn w:val="DefaultParagraphFont"/>
    <w:uiPriority w:val="21"/>
    <w:qFormat/>
    <w:rsid w:val="00C46927"/>
    <w:rPr>
      <w:b/>
      <w:bCs/>
      <w:i/>
      <w:iCs/>
      <w:color w:val="3494BA" w:themeColor="accent1"/>
    </w:rPr>
  </w:style>
  <w:style w:type="character" w:styleId="SubtleReference">
    <w:name w:val="Subtle Reference"/>
    <w:basedOn w:val="DefaultParagraphFont"/>
    <w:uiPriority w:val="31"/>
    <w:qFormat/>
    <w:rsid w:val="006A0AF7"/>
    <w:rPr>
      <w:color w:val="C00000"/>
    </w:rPr>
  </w:style>
  <w:style w:type="character" w:styleId="IntenseReference">
    <w:name w:val="Intense Reference"/>
    <w:basedOn w:val="DefaultParagraphFont"/>
    <w:uiPriority w:val="32"/>
    <w:qFormat/>
    <w:rsid w:val="00C46927"/>
    <w:rPr>
      <w:b/>
      <w:bCs/>
      <w:smallCaps/>
      <w:color w:val="58B6C0" w:themeColor="accent2"/>
      <w:spacing w:val="5"/>
      <w:u w:val="single"/>
    </w:rPr>
  </w:style>
  <w:style w:type="character" w:styleId="BookTitle">
    <w:name w:val="Book Title"/>
    <w:basedOn w:val="DefaultParagraphFont"/>
    <w:uiPriority w:val="33"/>
    <w:qFormat/>
    <w:rsid w:val="00C46927"/>
    <w:rPr>
      <w:b/>
      <w:bCs/>
      <w:smallCaps/>
      <w:spacing w:val="5"/>
    </w:rPr>
  </w:style>
  <w:style w:type="paragraph" w:styleId="TOCHeading">
    <w:name w:val="TOC Heading"/>
    <w:basedOn w:val="Heading1"/>
    <w:next w:val="Normal"/>
    <w:uiPriority w:val="39"/>
    <w:semiHidden/>
    <w:unhideWhenUsed/>
    <w:qFormat/>
    <w:rsid w:val="00C46927"/>
    <w:pPr>
      <w:outlineLvl w:val="9"/>
    </w:pPr>
  </w:style>
  <w:style w:type="paragraph" w:customStyle="1" w:styleId="HD1">
    <w:name w:val="HD1"/>
    <w:basedOn w:val="Title"/>
    <w:qFormat/>
    <w:rsid w:val="0039243C"/>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39875">
      <w:bodyDiv w:val="1"/>
      <w:marLeft w:val="0"/>
      <w:marRight w:val="0"/>
      <w:marTop w:val="0"/>
      <w:marBottom w:val="0"/>
      <w:divBdr>
        <w:top w:val="none" w:sz="0" w:space="0" w:color="auto"/>
        <w:left w:val="none" w:sz="0" w:space="0" w:color="auto"/>
        <w:bottom w:val="none" w:sz="0" w:space="0" w:color="auto"/>
        <w:right w:val="none" w:sz="0" w:space="0" w:color="auto"/>
      </w:divBdr>
    </w:div>
    <w:div w:id="165310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3D67045-097C-4920-8C27-B6DB3E2C08A6}" type="doc">
      <dgm:prSet loTypeId="urn:microsoft.com/office/officeart/2005/8/layout/process1" loCatId="process" qsTypeId="urn:microsoft.com/office/officeart/2005/8/quickstyle/simple1" qsCatId="simple" csTypeId="urn:microsoft.com/office/officeart/2005/8/colors/accent0_3" csCatId="mainScheme" phldr="1"/>
      <dgm:spPr/>
    </dgm:pt>
    <dgm:pt modelId="{A6028915-5419-4B67-A012-7975B2CAD020}">
      <dgm:prSet phldrT="[Text]" custT="1"/>
      <dgm:spPr>
        <a:solidFill>
          <a:schemeClr val="accent6">
            <a:lumMod val="50000"/>
          </a:schemeClr>
        </a:solidFill>
        <a:ln>
          <a:noFill/>
        </a:ln>
      </dgm:spPr>
      <dgm:t>
        <a:bodyPr/>
        <a:lstStyle/>
        <a:p>
          <a:r>
            <a:rPr lang="en-US" sz="1100">
              <a:latin typeface="+mj-lt"/>
              <a:cs typeface="Arial" panose="020B0604020202020204" pitchFamily="34" charset="0"/>
            </a:rPr>
            <a:t>Cost of accommodation</a:t>
          </a:r>
        </a:p>
      </dgm:t>
    </dgm:pt>
    <dgm:pt modelId="{7CEDE53F-E0C1-4496-B189-B7BA4AAD6C95}" type="parTrans" cxnId="{2ECD738F-7B4E-4D8E-8EC7-E5E62785B6D7}">
      <dgm:prSet/>
      <dgm:spPr/>
      <dgm:t>
        <a:bodyPr/>
        <a:lstStyle/>
        <a:p>
          <a:endParaRPr lang="en-US"/>
        </a:p>
      </dgm:t>
    </dgm:pt>
    <dgm:pt modelId="{D581E3DA-C5DE-41B4-B645-AF2267830055}" type="sibTrans" cxnId="{2ECD738F-7B4E-4D8E-8EC7-E5E62785B6D7}">
      <dgm:prSet/>
      <dgm:spPr/>
      <dgm:t>
        <a:bodyPr/>
        <a:lstStyle/>
        <a:p>
          <a:endParaRPr lang="en-US"/>
        </a:p>
      </dgm:t>
    </dgm:pt>
    <dgm:pt modelId="{3CD7E6FB-2FC5-4313-AAD3-C86FC51BA60A}">
      <dgm:prSet phldrT="[Text]" custT="1"/>
      <dgm:spPr>
        <a:solidFill>
          <a:schemeClr val="accent6">
            <a:lumMod val="50000"/>
          </a:schemeClr>
        </a:solidFill>
        <a:ln>
          <a:noFill/>
        </a:ln>
      </dgm:spPr>
      <dgm:t>
        <a:bodyPr/>
        <a:lstStyle/>
        <a:p>
          <a:r>
            <a:rPr lang="en-US" sz="1100">
              <a:latin typeface="+mj-lt"/>
              <a:cs typeface="Arial" panose="020B0604020202020204" pitchFamily="34" charset="0"/>
            </a:rPr>
            <a:t>Daily care fees</a:t>
          </a:r>
        </a:p>
      </dgm:t>
    </dgm:pt>
    <dgm:pt modelId="{58618320-AA10-47CF-A153-AD390C52D45E}" type="parTrans" cxnId="{46DB5181-F279-48B3-8366-861C0D21AC98}">
      <dgm:prSet/>
      <dgm:spPr/>
      <dgm:t>
        <a:bodyPr/>
        <a:lstStyle/>
        <a:p>
          <a:endParaRPr lang="en-US"/>
        </a:p>
      </dgm:t>
    </dgm:pt>
    <dgm:pt modelId="{85902840-823D-43E7-B2D1-E3D9D8765F07}" type="sibTrans" cxnId="{46DB5181-F279-48B3-8366-861C0D21AC98}">
      <dgm:prSet/>
      <dgm:spPr/>
      <dgm:t>
        <a:bodyPr/>
        <a:lstStyle/>
        <a:p>
          <a:endParaRPr lang="en-US"/>
        </a:p>
      </dgm:t>
    </dgm:pt>
    <dgm:pt modelId="{E873940B-8F62-4BE8-B90A-A8FCF87CB1BE}">
      <dgm:prSet phldrT="[Text]" custT="1"/>
      <dgm:spPr>
        <a:solidFill>
          <a:schemeClr val="accent6">
            <a:lumMod val="50000"/>
          </a:schemeClr>
        </a:solidFill>
        <a:ln>
          <a:noFill/>
        </a:ln>
      </dgm:spPr>
      <dgm:t>
        <a:bodyPr/>
        <a:lstStyle/>
        <a:p>
          <a:r>
            <a:rPr lang="en-US" sz="1100">
              <a:latin typeface="+mj-lt"/>
              <a:cs typeface="Arial" panose="020B0604020202020204" pitchFamily="34" charset="0"/>
            </a:rPr>
            <a:t>Extra services</a:t>
          </a:r>
        </a:p>
      </dgm:t>
    </dgm:pt>
    <dgm:pt modelId="{14772ACB-66B2-4787-891E-D05D97D1DCE9}" type="parTrans" cxnId="{3F37B9D8-E1A7-4B56-A6F0-00EF59CF0D76}">
      <dgm:prSet/>
      <dgm:spPr/>
      <dgm:t>
        <a:bodyPr/>
        <a:lstStyle/>
        <a:p>
          <a:endParaRPr lang="en-US"/>
        </a:p>
      </dgm:t>
    </dgm:pt>
    <dgm:pt modelId="{34FFE389-CEAD-48F8-B56F-EEB21BD746C0}" type="sibTrans" cxnId="{3F37B9D8-E1A7-4B56-A6F0-00EF59CF0D76}">
      <dgm:prSet/>
      <dgm:spPr/>
      <dgm:t>
        <a:bodyPr/>
        <a:lstStyle/>
        <a:p>
          <a:endParaRPr lang="en-US"/>
        </a:p>
      </dgm:t>
    </dgm:pt>
    <dgm:pt modelId="{9230D717-0BA4-4051-8DCA-53234849878C}" type="pres">
      <dgm:prSet presAssocID="{A3D67045-097C-4920-8C27-B6DB3E2C08A6}" presName="Name0" presStyleCnt="0">
        <dgm:presLayoutVars>
          <dgm:dir/>
          <dgm:resizeHandles val="exact"/>
        </dgm:presLayoutVars>
      </dgm:prSet>
      <dgm:spPr/>
    </dgm:pt>
    <dgm:pt modelId="{85D102B1-4AB2-427A-A117-6FD05D466011}" type="pres">
      <dgm:prSet presAssocID="{A6028915-5419-4B67-A012-7975B2CAD020}" presName="node" presStyleLbl="node1" presStyleIdx="0" presStyleCnt="3" custScaleX="274683">
        <dgm:presLayoutVars>
          <dgm:bulletEnabled val="1"/>
        </dgm:presLayoutVars>
      </dgm:prSet>
      <dgm:spPr>
        <a:prstGeom prst="rect">
          <a:avLst/>
        </a:prstGeom>
      </dgm:spPr>
    </dgm:pt>
    <dgm:pt modelId="{6980B86A-5549-4358-BB03-54DB466DF12F}" type="pres">
      <dgm:prSet presAssocID="{D581E3DA-C5DE-41B4-B645-AF2267830055}" presName="sibTrans" presStyleLbl="sibTrans2D1" presStyleIdx="0" presStyleCnt="2"/>
      <dgm:spPr>
        <a:prstGeom prst="homePlate">
          <a:avLst/>
        </a:prstGeom>
      </dgm:spPr>
    </dgm:pt>
    <dgm:pt modelId="{EBEFB108-8EBA-470C-BE6E-F9DFB4C3304C}" type="pres">
      <dgm:prSet presAssocID="{D581E3DA-C5DE-41B4-B645-AF2267830055}" presName="connectorText" presStyleLbl="sibTrans2D1" presStyleIdx="0" presStyleCnt="2"/>
      <dgm:spPr/>
    </dgm:pt>
    <dgm:pt modelId="{26379159-61F1-4B53-ACBD-791F0360542B}" type="pres">
      <dgm:prSet presAssocID="{3CD7E6FB-2FC5-4313-AAD3-C86FC51BA60A}" presName="node" presStyleLbl="node1" presStyleIdx="1" presStyleCnt="3" custScaleX="198699">
        <dgm:presLayoutVars>
          <dgm:bulletEnabled val="1"/>
        </dgm:presLayoutVars>
      </dgm:prSet>
      <dgm:spPr>
        <a:prstGeom prst="rect">
          <a:avLst/>
        </a:prstGeom>
      </dgm:spPr>
    </dgm:pt>
    <dgm:pt modelId="{62D373EC-2065-44CB-A229-91796162A9A9}" type="pres">
      <dgm:prSet presAssocID="{85902840-823D-43E7-B2D1-E3D9D8765F07}" presName="sibTrans" presStyleLbl="sibTrans2D1" presStyleIdx="1" presStyleCnt="2"/>
      <dgm:spPr>
        <a:prstGeom prst="homePlate">
          <a:avLst/>
        </a:prstGeom>
      </dgm:spPr>
    </dgm:pt>
    <dgm:pt modelId="{6B20DC1E-5757-4C6A-A74C-59D71FCD2DE3}" type="pres">
      <dgm:prSet presAssocID="{85902840-823D-43E7-B2D1-E3D9D8765F07}" presName="connectorText" presStyleLbl="sibTrans2D1" presStyleIdx="1" presStyleCnt="2"/>
      <dgm:spPr/>
    </dgm:pt>
    <dgm:pt modelId="{A8CCD779-C05A-4D76-B8FB-6320A4EF4521}" type="pres">
      <dgm:prSet presAssocID="{E873940B-8F62-4BE8-B90A-A8FCF87CB1BE}" presName="node" presStyleLbl="node1" presStyleIdx="2" presStyleCnt="3" custScaleX="214568">
        <dgm:presLayoutVars>
          <dgm:bulletEnabled val="1"/>
        </dgm:presLayoutVars>
      </dgm:prSet>
      <dgm:spPr>
        <a:prstGeom prst="rect">
          <a:avLst/>
        </a:prstGeom>
      </dgm:spPr>
    </dgm:pt>
  </dgm:ptLst>
  <dgm:cxnLst>
    <dgm:cxn modelId="{1074531C-91B8-3848-A6FC-C68DC17222B4}" type="presOf" srcId="{A3D67045-097C-4920-8C27-B6DB3E2C08A6}" destId="{9230D717-0BA4-4051-8DCA-53234849878C}" srcOrd="0" destOrd="0" presId="urn:microsoft.com/office/officeart/2005/8/layout/process1"/>
    <dgm:cxn modelId="{4B00AF3C-1E8D-9441-BDB2-98E047B0A443}" type="presOf" srcId="{3CD7E6FB-2FC5-4313-AAD3-C86FC51BA60A}" destId="{26379159-61F1-4B53-ACBD-791F0360542B}" srcOrd="0" destOrd="0" presId="urn:microsoft.com/office/officeart/2005/8/layout/process1"/>
    <dgm:cxn modelId="{9E55A95E-FB8B-A94F-BB67-30D25421B416}" type="presOf" srcId="{A6028915-5419-4B67-A012-7975B2CAD020}" destId="{85D102B1-4AB2-427A-A117-6FD05D466011}" srcOrd="0" destOrd="0" presId="urn:microsoft.com/office/officeart/2005/8/layout/process1"/>
    <dgm:cxn modelId="{D33F155F-A84D-9D48-8127-D4F52B65FD14}" type="presOf" srcId="{85902840-823D-43E7-B2D1-E3D9D8765F07}" destId="{62D373EC-2065-44CB-A229-91796162A9A9}" srcOrd="0" destOrd="0" presId="urn:microsoft.com/office/officeart/2005/8/layout/process1"/>
    <dgm:cxn modelId="{32164667-7633-2F4F-92C0-87D314EA54D5}" type="presOf" srcId="{D581E3DA-C5DE-41B4-B645-AF2267830055}" destId="{6980B86A-5549-4358-BB03-54DB466DF12F}" srcOrd="0" destOrd="0" presId="urn:microsoft.com/office/officeart/2005/8/layout/process1"/>
    <dgm:cxn modelId="{46DB5181-F279-48B3-8366-861C0D21AC98}" srcId="{A3D67045-097C-4920-8C27-B6DB3E2C08A6}" destId="{3CD7E6FB-2FC5-4313-AAD3-C86FC51BA60A}" srcOrd="1" destOrd="0" parTransId="{58618320-AA10-47CF-A153-AD390C52D45E}" sibTransId="{85902840-823D-43E7-B2D1-E3D9D8765F07}"/>
    <dgm:cxn modelId="{2ECD738F-7B4E-4D8E-8EC7-E5E62785B6D7}" srcId="{A3D67045-097C-4920-8C27-B6DB3E2C08A6}" destId="{A6028915-5419-4B67-A012-7975B2CAD020}" srcOrd="0" destOrd="0" parTransId="{7CEDE53F-E0C1-4496-B189-B7BA4AAD6C95}" sibTransId="{D581E3DA-C5DE-41B4-B645-AF2267830055}"/>
    <dgm:cxn modelId="{03C826C9-CC79-5A43-8FF1-2149CFDA3604}" type="presOf" srcId="{85902840-823D-43E7-B2D1-E3D9D8765F07}" destId="{6B20DC1E-5757-4C6A-A74C-59D71FCD2DE3}" srcOrd="1" destOrd="0" presId="urn:microsoft.com/office/officeart/2005/8/layout/process1"/>
    <dgm:cxn modelId="{3F37B9D8-E1A7-4B56-A6F0-00EF59CF0D76}" srcId="{A3D67045-097C-4920-8C27-B6DB3E2C08A6}" destId="{E873940B-8F62-4BE8-B90A-A8FCF87CB1BE}" srcOrd="2" destOrd="0" parTransId="{14772ACB-66B2-4787-891E-D05D97D1DCE9}" sibTransId="{34FFE389-CEAD-48F8-B56F-EEB21BD746C0}"/>
    <dgm:cxn modelId="{34DD3BEA-8A52-454A-8A78-358770FC8621}" type="presOf" srcId="{E873940B-8F62-4BE8-B90A-A8FCF87CB1BE}" destId="{A8CCD779-C05A-4D76-B8FB-6320A4EF4521}" srcOrd="0" destOrd="0" presId="urn:microsoft.com/office/officeart/2005/8/layout/process1"/>
    <dgm:cxn modelId="{B055C5ED-001E-8142-86A2-4A61963A4382}" type="presOf" srcId="{D581E3DA-C5DE-41B4-B645-AF2267830055}" destId="{EBEFB108-8EBA-470C-BE6E-F9DFB4C3304C}" srcOrd="1" destOrd="0" presId="urn:microsoft.com/office/officeart/2005/8/layout/process1"/>
    <dgm:cxn modelId="{7F5D0819-2634-6B45-970D-12F4515E6C71}" type="presParOf" srcId="{9230D717-0BA4-4051-8DCA-53234849878C}" destId="{85D102B1-4AB2-427A-A117-6FD05D466011}" srcOrd="0" destOrd="0" presId="urn:microsoft.com/office/officeart/2005/8/layout/process1"/>
    <dgm:cxn modelId="{DBBCB5AE-533D-3241-B8F6-2B66110CD2C9}" type="presParOf" srcId="{9230D717-0BA4-4051-8DCA-53234849878C}" destId="{6980B86A-5549-4358-BB03-54DB466DF12F}" srcOrd="1" destOrd="0" presId="urn:microsoft.com/office/officeart/2005/8/layout/process1"/>
    <dgm:cxn modelId="{B1A669CC-CF69-5947-9FB9-718B0C86D49B}" type="presParOf" srcId="{6980B86A-5549-4358-BB03-54DB466DF12F}" destId="{EBEFB108-8EBA-470C-BE6E-F9DFB4C3304C}" srcOrd="0" destOrd="0" presId="urn:microsoft.com/office/officeart/2005/8/layout/process1"/>
    <dgm:cxn modelId="{3BB5160E-5B97-C141-93D9-E6E275E510CE}" type="presParOf" srcId="{9230D717-0BA4-4051-8DCA-53234849878C}" destId="{26379159-61F1-4B53-ACBD-791F0360542B}" srcOrd="2" destOrd="0" presId="urn:microsoft.com/office/officeart/2005/8/layout/process1"/>
    <dgm:cxn modelId="{F54C4774-0924-834B-870F-6F515DC553B0}" type="presParOf" srcId="{9230D717-0BA4-4051-8DCA-53234849878C}" destId="{62D373EC-2065-44CB-A229-91796162A9A9}" srcOrd="3" destOrd="0" presId="urn:microsoft.com/office/officeart/2005/8/layout/process1"/>
    <dgm:cxn modelId="{37B8D46C-B539-E645-8C8B-1E4DFE460389}" type="presParOf" srcId="{62D373EC-2065-44CB-A229-91796162A9A9}" destId="{6B20DC1E-5757-4C6A-A74C-59D71FCD2DE3}" srcOrd="0" destOrd="0" presId="urn:microsoft.com/office/officeart/2005/8/layout/process1"/>
    <dgm:cxn modelId="{A3BB29A3-570C-8142-81FB-D3A457A674E6}" type="presParOf" srcId="{9230D717-0BA4-4051-8DCA-53234849878C}" destId="{A8CCD779-C05A-4D76-B8FB-6320A4EF4521}" srcOrd="4"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5D102B1-4AB2-427A-A117-6FD05D466011}">
      <dsp:nvSpPr>
        <dsp:cNvPr id="0" name=""/>
        <dsp:cNvSpPr/>
      </dsp:nvSpPr>
      <dsp:spPr>
        <a:xfrm>
          <a:off x="4634" y="0"/>
          <a:ext cx="1986562" cy="408939"/>
        </a:xfrm>
        <a:prstGeom prst="rect">
          <a:avLst/>
        </a:prstGeom>
        <a:solidFill>
          <a:schemeClr val="accent6">
            <a:lumMod val="50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mj-lt"/>
              <a:cs typeface="Arial" panose="020B0604020202020204" pitchFamily="34" charset="0"/>
            </a:rPr>
            <a:t>Cost of accommodation</a:t>
          </a:r>
        </a:p>
      </dsp:txBody>
      <dsp:txXfrm>
        <a:off x="4634" y="0"/>
        <a:ext cx="1986562" cy="408939"/>
      </dsp:txXfrm>
    </dsp:sp>
    <dsp:sp modelId="{6980B86A-5549-4358-BB03-54DB466DF12F}">
      <dsp:nvSpPr>
        <dsp:cNvPr id="0" name=""/>
        <dsp:cNvSpPr/>
      </dsp:nvSpPr>
      <dsp:spPr>
        <a:xfrm>
          <a:off x="2063518" y="114790"/>
          <a:ext cx="153322" cy="179358"/>
        </a:xfrm>
        <a:prstGeom prst="homePlate">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2063518" y="150662"/>
        <a:ext cx="107325" cy="107614"/>
      </dsp:txXfrm>
    </dsp:sp>
    <dsp:sp modelId="{26379159-61F1-4B53-ACBD-791F0360542B}">
      <dsp:nvSpPr>
        <dsp:cNvPr id="0" name=""/>
        <dsp:cNvSpPr/>
      </dsp:nvSpPr>
      <dsp:spPr>
        <a:xfrm>
          <a:off x="2280483" y="0"/>
          <a:ext cx="1437030" cy="408939"/>
        </a:xfrm>
        <a:prstGeom prst="rect">
          <a:avLst/>
        </a:prstGeom>
        <a:solidFill>
          <a:schemeClr val="accent6">
            <a:lumMod val="50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mj-lt"/>
              <a:cs typeface="Arial" panose="020B0604020202020204" pitchFamily="34" charset="0"/>
            </a:rPr>
            <a:t>Daily care fees</a:t>
          </a:r>
        </a:p>
      </dsp:txBody>
      <dsp:txXfrm>
        <a:off x="2280483" y="0"/>
        <a:ext cx="1437030" cy="408939"/>
      </dsp:txXfrm>
    </dsp:sp>
    <dsp:sp modelId="{62D373EC-2065-44CB-A229-91796162A9A9}">
      <dsp:nvSpPr>
        <dsp:cNvPr id="0" name=""/>
        <dsp:cNvSpPr/>
      </dsp:nvSpPr>
      <dsp:spPr>
        <a:xfrm>
          <a:off x="3789836" y="114790"/>
          <a:ext cx="153322" cy="179358"/>
        </a:xfrm>
        <a:prstGeom prst="homePlate">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3789836" y="150662"/>
        <a:ext cx="107325" cy="107614"/>
      </dsp:txXfrm>
    </dsp:sp>
    <dsp:sp modelId="{A8CCD779-C05A-4D76-B8FB-6320A4EF4521}">
      <dsp:nvSpPr>
        <dsp:cNvPr id="0" name=""/>
        <dsp:cNvSpPr/>
      </dsp:nvSpPr>
      <dsp:spPr>
        <a:xfrm>
          <a:off x="4006802" y="0"/>
          <a:ext cx="1551798" cy="408939"/>
        </a:xfrm>
        <a:prstGeom prst="rect">
          <a:avLst/>
        </a:prstGeom>
        <a:solidFill>
          <a:schemeClr val="accent6">
            <a:lumMod val="50000"/>
          </a:schemeClr>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latin typeface="+mj-lt"/>
              <a:cs typeface="Arial" panose="020B0604020202020204" pitchFamily="34" charset="0"/>
            </a:rPr>
            <a:t>Extra services</a:t>
          </a:r>
        </a:p>
      </dsp:txBody>
      <dsp:txXfrm>
        <a:off x="4006802" y="0"/>
        <a:ext cx="1551798" cy="40893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LouLou</dc:creator>
  <cp:lastModifiedBy>Sharon Coleman</cp:lastModifiedBy>
  <cp:revision>9</cp:revision>
  <dcterms:created xsi:type="dcterms:W3CDTF">2017-11-07T03:48:00Z</dcterms:created>
  <dcterms:modified xsi:type="dcterms:W3CDTF">2018-05-11T00:51:00Z</dcterms:modified>
</cp:coreProperties>
</file>